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8C208">
      <w:pPr>
        <w:spacing w:line="700" w:lineRule="exact"/>
        <w:jc w:val="center"/>
        <w:rPr>
          <w:rFonts w:hint="default" w:ascii="Times New Roman" w:hAnsi="Times New Roman" w:eastAsia="方正小标宋简体" w:cs="Times New Roman"/>
          <w:bCs/>
          <w:color w:val="auto"/>
          <w:sz w:val="44"/>
          <w:szCs w:val="44"/>
          <w:highlight w:val="none"/>
        </w:rPr>
      </w:pPr>
      <w:r>
        <w:rPr>
          <w:rFonts w:hint="default" w:ascii="Times New Roman" w:hAnsi="Times New Roman" w:eastAsia="方正小标宋简体" w:cs="Times New Roman"/>
          <w:bCs/>
          <w:color w:val="auto"/>
          <w:sz w:val="44"/>
          <w:szCs w:val="44"/>
          <w:highlight w:val="none"/>
        </w:rPr>
        <w:t>202</w:t>
      </w:r>
      <w:r>
        <w:rPr>
          <w:rFonts w:hint="default" w:ascii="Times New Roman" w:hAnsi="Times New Roman" w:eastAsia="方正小标宋简体" w:cs="Times New Roman"/>
          <w:bCs/>
          <w:color w:val="auto"/>
          <w:sz w:val="44"/>
          <w:szCs w:val="44"/>
          <w:highlight w:val="none"/>
          <w:lang w:val="en-US" w:eastAsia="zh-CN"/>
        </w:rPr>
        <w:t>4</w:t>
      </w:r>
      <w:r>
        <w:rPr>
          <w:rFonts w:hint="default" w:ascii="Times New Roman" w:hAnsi="Times New Roman" w:eastAsia="方正小标宋简体" w:cs="Times New Roman"/>
          <w:bCs/>
          <w:color w:val="auto"/>
          <w:sz w:val="44"/>
          <w:szCs w:val="44"/>
          <w:highlight w:val="none"/>
        </w:rPr>
        <w:t>年度体育彩票公益金资助项目宣传公告</w:t>
      </w:r>
    </w:p>
    <w:p w14:paraId="1363DAB4">
      <w:pPr>
        <w:widowControl/>
        <w:adjustRightInd w:val="0"/>
        <w:snapToGrid w:val="0"/>
        <w:spacing w:line="700" w:lineRule="exact"/>
        <w:jc w:val="center"/>
        <w:rPr>
          <w:rFonts w:hint="default" w:ascii="Times New Roman" w:hAnsi="Times New Roman" w:eastAsia="方正仿宋_GBK" w:cs="Times New Roman"/>
          <w:color w:val="auto"/>
          <w:kern w:val="0"/>
          <w:szCs w:val="32"/>
          <w:highlight w:val="none"/>
        </w:rPr>
      </w:pPr>
    </w:p>
    <w:p w14:paraId="32C21506">
      <w:pPr>
        <w:widowControl/>
        <w:adjustRightInd w:val="0"/>
        <w:snapToGrid w:val="0"/>
        <w:spacing w:line="580" w:lineRule="exact"/>
        <w:ind w:firstLine="624" w:firstLineChars="200"/>
        <w:rPr>
          <w:rFonts w:hint="default" w:ascii="Times New Roman" w:hAnsi="Times New Roman" w:eastAsia="黑体" w:cs="Times New Roman"/>
          <w:color w:val="auto"/>
          <w:szCs w:val="32"/>
          <w:highlight w:val="none"/>
        </w:rPr>
      </w:pPr>
      <w:r>
        <w:rPr>
          <w:rFonts w:hint="default" w:ascii="Times New Roman" w:hAnsi="Times New Roman" w:eastAsia="黑体" w:cs="Times New Roman"/>
          <w:color w:val="auto"/>
          <w:szCs w:val="32"/>
          <w:highlight w:val="none"/>
        </w:rPr>
        <w:t>一、</w:t>
      </w:r>
      <w:r>
        <w:rPr>
          <w:rFonts w:hint="default" w:ascii="Times New Roman" w:hAnsi="Times New Roman" w:eastAsia="黑体" w:cs="Times New Roman"/>
          <w:color w:val="auto"/>
          <w:szCs w:val="32"/>
          <w:highlight w:val="none"/>
          <w:lang w:val="en-US" w:eastAsia="zh-CN"/>
        </w:rPr>
        <w:t>体彩</w:t>
      </w:r>
      <w:r>
        <w:rPr>
          <w:rFonts w:hint="default" w:ascii="Times New Roman" w:hAnsi="Times New Roman" w:eastAsia="黑体" w:cs="Times New Roman"/>
          <w:color w:val="auto"/>
          <w:szCs w:val="32"/>
          <w:highlight w:val="none"/>
        </w:rPr>
        <w:t>公益金资助项目信息公布情况</w:t>
      </w:r>
    </w:p>
    <w:p w14:paraId="2E934CCB">
      <w:pPr>
        <w:spacing w:line="580" w:lineRule="exact"/>
        <w:ind w:firstLine="624" w:firstLineChars="200"/>
        <w:rPr>
          <w:rFonts w:hint="default" w:ascii="Times New Roman" w:hAnsi="Times New Roman" w:eastAsia="楷体_GB2312" w:cs="Times New Roman"/>
          <w:color w:val="auto"/>
          <w:szCs w:val="32"/>
          <w:highlight w:val="none"/>
        </w:rPr>
      </w:pPr>
      <w:r>
        <w:rPr>
          <w:rFonts w:hint="default" w:ascii="Times New Roman" w:hAnsi="Times New Roman" w:eastAsia="楷体_GB2312" w:cs="Times New Roman"/>
          <w:color w:val="auto"/>
          <w:szCs w:val="32"/>
          <w:highlight w:val="none"/>
        </w:rPr>
        <w:t>（一）项目概况</w:t>
      </w:r>
    </w:p>
    <w:p w14:paraId="56F1004E">
      <w:pPr>
        <w:widowControl/>
        <w:adjustRightInd w:val="0"/>
        <w:snapToGrid w:val="0"/>
        <w:spacing w:line="580" w:lineRule="exact"/>
        <w:ind w:firstLine="624" w:firstLineChars="200"/>
        <w:rPr>
          <w:rFonts w:hint="default" w:ascii="Times New Roman" w:hAnsi="Times New Roman" w:eastAsia="仿宋_GB2312" w:cs="Times New Roman"/>
          <w:color w:val="auto"/>
          <w:szCs w:val="32"/>
          <w:highlight w:val="none"/>
        </w:rPr>
      </w:pPr>
      <w:r>
        <w:rPr>
          <w:rFonts w:hint="default" w:ascii="Times New Roman" w:hAnsi="Times New Roman" w:eastAsia="仿宋_GB2312" w:cs="Times New Roman"/>
          <w:color w:val="auto"/>
          <w:szCs w:val="32"/>
          <w:highlight w:val="none"/>
        </w:rPr>
        <w:t>1.项目名称：</w:t>
      </w:r>
      <w:r>
        <w:rPr>
          <w:rFonts w:hint="eastAsia" w:ascii="仿宋_GB2312" w:eastAsia="仿宋_GB2312"/>
          <w:szCs w:val="32"/>
        </w:rPr>
        <w:t>体育赛事举办</w:t>
      </w:r>
    </w:p>
    <w:p w14:paraId="600C6AB1">
      <w:pPr>
        <w:widowControl/>
        <w:adjustRightInd w:val="0"/>
        <w:snapToGrid w:val="0"/>
        <w:spacing w:line="580" w:lineRule="exact"/>
        <w:ind w:firstLine="624" w:firstLineChars="200"/>
        <w:rPr>
          <w:rFonts w:hint="default" w:ascii="Times New Roman" w:hAnsi="Times New Roman" w:eastAsia="仿宋_GB2312" w:cs="Times New Roman"/>
          <w:color w:val="auto"/>
          <w:szCs w:val="32"/>
          <w:highlight w:val="none"/>
        </w:rPr>
      </w:pPr>
      <w:r>
        <w:rPr>
          <w:rFonts w:hint="default" w:ascii="Times New Roman" w:hAnsi="Times New Roman" w:eastAsia="仿宋_GB2312" w:cs="Times New Roman"/>
          <w:color w:val="auto"/>
          <w:szCs w:val="32"/>
          <w:highlight w:val="none"/>
        </w:rPr>
        <w:t>2.项目单位：常州市体育局</w:t>
      </w:r>
    </w:p>
    <w:p w14:paraId="10B1C1F4">
      <w:pPr>
        <w:spacing w:line="580" w:lineRule="exact"/>
        <w:ind w:firstLine="624" w:firstLineChars="200"/>
        <w:rPr>
          <w:rFonts w:hint="default" w:ascii="Times New Roman" w:hAnsi="Times New Roman" w:eastAsia="仿宋_GB2312" w:cs="Times New Roman"/>
          <w:color w:val="auto"/>
          <w:szCs w:val="32"/>
          <w:highlight w:val="none"/>
        </w:rPr>
      </w:pPr>
      <w:r>
        <w:rPr>
          <w:rFonts w:hint="default" w:ascii="Times New Roman" w:hAnsi="Times New Roman" w:eastAsia="仿宋_GB2312" w:cs="Times New Roman"/>
          <w:color w:val="auto"/>
          <w:szCs w:val="32"/>
          <w:highlight w:val="none"/>
        </w:rPr>
        <w:t>3.项目总额：</w:t>
      </w:r>
      <w:r>
        <w:rPr>
          <w:rFonts w:hint="eastAsia" w:eastAsia="仿宋_GB2312" w:cs="Times New Roman"/>
          <w:color w:val="auto"/>
          <w:szCs w:val="32"/>
          <w:highlight w:val="none"/>
          <w:lang w:val="en-US" w:eastAsia="zh-CN"/>
        </w:rPr>
        <w:t>1849</w:t>
      </w:r>
      <w:r>
        <w:rPr>
          <w:rFonts w:hint="default" w:ascii="Times New Roman" w:hAnsi="Times New Roman" w:eastAsia="仿宋_GB2312" w:cs="Times New Roman"/>
          <w:color w:val="auto"/>
          <w:szCs w:val="32"/>
          <w:highlight w:val="none"/>
        </w:rPr>
        <w:t>万元</w:t>
      </w:r>
    </w:p>
    <w:p w14:paraId="58244FD2">
      <w:pPr>
        <w:spacing w:line="580" w:lineRule="exact"/>
        <w:ind w:firstLine="624" w:firstLineChars="200"/>
        <w:rPr>
          <w:rFonts w:hint="default" w:ascii="Times New Roman" w:hAnsi="Times New Roman" w:eastAsia="仿宋_GB2312" w:cs="Times New Roman"/>
          <w:color w:val="auto"/>
          <w:szCs w:val="32"/>
          <w:highlight w:val="none"/>
        </w:rPr>
      </w:pPr>
      <w:r>
        <w:rPr>
          <w:rFonts w:hint="default" w:ascii="Times New Roman" w:hAnsi="Times New Roman" w:eastAsia="仿宋_GB2312" w:cs="Times New Roman"/>
          <w:color w:val="auto"/>
          <w:szCs w:val="32"/>
          <w:highlight w:val="none"/>
        </w:rPr>
        <w:t>4.项目时间：202</w:t>
      </w:r>
      <w:r>
        <w:rPr>
          <w:rFonts w:hint="default" w:ascii="Times New Roman" w:hAnsi="Times New Roman" w:eastAsia="仿宋_GB2312" w:cs="Times New Roman"/>
          <w:color w:val="auto"/>
          <w:szCs w:val="32"/>
          <w:highlight w:val="none"/>
          <w:lang w:val="en-US" w:eastAsia="zh-CN"/>
        </w:rPr>
        <w:t>4</w:t>
      </w:r>
      <w:r>
        <w:rPr>
          <w:rFonts w:hint="default" w:ascii="Times New Roman" w:hAnsi="Times New Roman" w:eastAsia="仿宋_GB2312" w:cs="Times New Roman"/>
          <w:color w:val="auto"/>
          <w:szCs w:val="32"/>
          <w:highlight w:val="none"/>
        </w:rPr>
        <w:t>年1月-12月</w:t>
      </w:r>
    </w:p>
    <w:p w14:paraId="21C270E4">
      <w:pPr>
        <w:spacing w:line="580" w:lineRule="exact"/>
        <w:ind w:firstLine="624" w:firstLineChars="200"/>
        <w:rPr>
          <w:rFonts w:hint="default" w:ascii="Times New Roman" w:hAnsi="Times New Roman" w:eastAsia="仿宋_GB2312" w:cs="Times New Roman"/>
          <w:color w:val="auto"/>
          <w:szCs w:val="32"/>
          <w:highlight w:val="none"/>
          <w:lang w:val="en-US" w:eastAsia="zh-CN"/>
        </w:rPr>
      </w:pPr>
      <w:r>
        <w:rPr>
          <w:rFonts w:hint="default" w:ascii="Times New Roman" w:hAnsi="Times New Roman" w:eastAsia="仿宋_GB2312" w:cs="Times New Roman"/>
          <w:color w:val="auto"/>
          <w:szCs w:val="32"/>
          <w:highlight w:val="none"/>
        </w:rPr>
        <w:t>5.项目联络人：</w:t>
      </w:r>
      <w:r>
        <w:rPr>
          <w:rFonts w:hint="eastAsia" w:eastAsia="仿宋_GB2312" w:cs="Times New Roman"/>
          <w:color w:val="auto"/>
          <w:szCs w:val="32"/>
          <w:highlight w:val="none"/>
          <w:lang w:val="en-US" w:eastAsia="zh-CN"/>
        </w:rPr>
        <w:t>管明生</w:t>
      </w:r>
      <w:bookmarkStart w:id="0" w:name="_GoBack"/>
      <w:bookmarkEnd w:id="0"/>
    </w:p>
    <w:p w14:paraId="00CCE34C">
      <w:pPr>
        <w:spacing w:line="580" w:lineRule="exact"/>
        <w:ind w:firstLine="624" w:firstLineChars="200"/>
        <w:rPr>
          <w:rFonts w:hint="default" w:ascii="Times New Roman" w:hAnsi="Times New Roman" w:eastAsia="仿宋_GB2312" w:cs="Times New Roman"/>
          <w:color w:val="auto"/>
          <w:szCs w:val="32"/>
          <w:highlight w:val="none"/>
          <w:lang w:val="en-US" w:eastAsia="zh-CN"/>
        </w:rPr>
      </w:pPr>
      <w:r>
        <w:rPr>
          <w:rFonts w:hint="default" w:ascii="Times New Roman" w:hAnsi="Times New Roman" w:eastAsia="仿宋_GB2312" w:cs="Times New Roman"/>
          <w:color w:val="auto"/>
          <w:szCs w:val="32"/>
          <w:highlight w:val="none"/>
          <w:lang w:val="en-US" w:eastAsia="zh-CN"/>
        </w:rPr>
        <w:t>6.项目宣传落实情况：按要求做好公益金使用宣传</w:t>
      </w:r>
    </w:p>
    <w:p w14:paraId="4E6EC1CF">
      <w:pPr>
        <w:spacing w:line="580" w:lineRule="exact"/>
        <w:ind w:firstLine="624" w:firstLineChars="200"/>
        <w:rPr>
          <w:rFonts w:hint="default" w:ascii="Times New Roman" w:hAnsi="Times New Roman" w:eastAsia="楷体_GB2312" w:cs="Times New Roman"/>
          <w:color w:val="auto"/>
          <w:szCs w:val="32"/>
          <w:highlight w:val="none"/>
        </w:rPr>
      </w:pPr>
      <w:r>
        <w:rPr>
          <w:rFonts w:hint="default" w:ascii="Times New Roman" w:hAnsi="Times New Roman" w:eastAsia="楷体_GB2312" w:cs="Times New Roman"/>
          <w:color w:val="auto"/>
          <w:szCs w:val="32"/>
          <w:highlight w:val="none"/>
        </w:rPr>
        <w:t>（二）</w:t>
      </w:r>
      <w:r>
        <w:rPr>
          <w:rFonts w:hint="default" w:ascii="Times New Roman" w:hAnsi="Times New Roman" w:eastAsia="楷体_GB2312" w:cs="Times New Roman"/>
          <w:color w:val="auto"/>
          <w:szCs w:val="32"/>
          <w:highlight w:val="none"/>
          <w:lang w:val="en-US" w:eastAsia="zh-CN"/>
        </w:rPr>
        <w:t>体彩</w:t>
      </w:r>
      <w:r>
        <w:rPr>
          <w:rFonts w:hint="default" w:ascii="Times New Roman" w:hAnsi="Times New Roman" w:eastAsia="楷体_GB2312" w:cs="Times New Roman"/>
          <w:color w:val="auto"/>
          <w:szCs w:val="32"/>
          <w:highlight w:val="none"/>
        </w:rPr>
        <w:t>公益金资助项目</w:t>
      </w:r>
      <w:r>
        <w:rPr>
          <w:rFonts w:hint="default" w:ascii="Times New Roman" w:hAnsi="Times New Roman" w:eastAsia="楷体_GB2312" w:cs="Times New Roman"/>
          <w:color w:val="auto"/>
          <w:szCs w:val="32"/>
          <w:highlight w:val="none"/>
          <w:lang w:val="en-US" w:eastAsia="zh-CN"/>
        </w:rPr>
        <w:t>实施</w:t>
      </w:r>
      <w:r>
        <w:rPr>
          <w:rFonts w:hint="default" w:ascii="Times New Roman" w:hAnsi="Times New Roman" w:eastAsia="楷体_GB2312" w:cs="Times New Roman"/>
          <w:color w:val="auto"/>
          <w:szCs w:val="32"/>
          <w:highlight w:val="none"/>
        </w:rPr>
        <w:t>效果</w:t>
      </w:r>
    </w:p>
    <w:p w14:paraId="4C1FA8B7">
      <w:pPr>
        <w:spacing w:line="580" w:lineRule="exact"/>
        <w:ind w:firstLine="624" w:firstLineChars="200"/>
        <w:rPr>
          <w:rFonts w:hint="default" w:ascii="Times New Roman" w:hAnsi="Times New Roman" w:eastAsia="仿宋_GB2312" w:cs="Times New Roman"/>
          <w:b/>
          <w:color w:val="auto"/>
          <w:szCs w:val="32"/>
          <w:highlight w:val="none"/>
        </w:rPr>
      </w:pPr>
      <w:r>
        <w:rPr>
          <w:rFonts w:hint="default" w:ascii="Times New Roman" w:hAnsi="Times New Roman" w:eastAsia="仿宋_GB2312" w:cs="Times New Roman"/>
          <w:b/>
          <w:color w:val="auto"/>
          <w:szCs w:val="32"/>
          <w:highlight w:val="none"/>
        </w:rPr>
        <w:t>1．公益金资助项目</w:t>
      </w:r>
      <w:r>
        <w:rPr>
          <w:rFonts w:hint="default" w:ascii="Times New Roman" w:hAnsi="Times New Roman" w:eastAsia="仿宋_GB2312" w:cs="Times New Roman"/>
          <w:b/>
          <w:color w:val="auto"/>
          <w:szCs w:val="32"/>
          <w:highlight w:val="none"/>
          <w:lang w:val="en-US" w:eastAsia="zh-CN"/>
        </w:rPr>
        <w:t>及影响的</w:t>
      </w:r>
      <w:r>
        <w:rPr>
          <w:rFonts w:hint="default" w:ascii="Times New Roman" w:hAnsi="Times New Roman" w:eastAsia="仿宋_GB2312" w:cs="Times New Roman"/>
          <w:b/>
          <w:color w:val="auto"/>
          <w:szCs w:val="32"/>
          <w:highlight w:val="none"/>
        </w:rPr>
        <w:t>总体描述</w:t>
      </w:r>
    </w:p>
    <w:p w14:paraId="6BCECA81">
      <w:pPr>
        <w:keepNext w:val="0"/>
        <w:keepLines w:val="0"/>
        <w:pageBreakBefore w:val="0"/>
        <w:kinsoku/>
        <w:wordWrap/>
        <w:overflowPunct/>
        <w:topLinePunct w:val="0"/>
        <w:autoSpaceDE/>
        <w:autoSpaceDN/>
        <w:bidi w:val="0"/>
        <w:spacing w:line="570" w:lineRule="exact"/>
        <w:ind w:firstLine="624" w:firstLineChars="200"/>
        <w:textAlignment w:val="auto"/>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rPr>
        <w:t>年体育彩票公益金的投入对常州体育赛事发展起到了很大的推动作用。通过202</w:t>
      </w:r>
      <w:r>
        <w:rPr>
          <w:rFonts w:hint="eastAsia"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rPr>
        <w:t>年中国羽毛球公开赛</w:t>
      </w:r>
      <w:r>
        <w:rPr>
          <w:rFonts w:hint="eastAsia" w:ascii="Times New Roman" w:hAnsi="Times New Roman" w:eastAsia="仿宋_GB2312" w:cs="Times New Roman"/>
          <w:color w:val="auto"/>
          <w:sz w:val="32"/>
          <w:szCs w:val="32"/>
          <w:highlight w:val="none"/>
          <w:lang w:val="en-US" w:eastAsia="zh-CN"/>
        </w:rPr>
        <w:t>、中国女排超级联赛（常州赛区）</w:t>
      </w:r>
      <w:r>
        <w:rPr>
          <w:rFonts w:hint="eastAsia" w:ascii="Times New Roman" w:hAnsi="Times New Roman" w:eastAsia="仿宋_GB2312" w:cs="Times New Roman"/>
          <w:color w:val="auto"/>
          <w:sz w:val="32"/>
          <w:szCs w:val="32"/>
          <w:highlight w:val="none"/>
        </w:rPr>
        <w:t>等大项赛事举办</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向全国及世界展示</w:t>
      </w:r>
      <w:r>
        <w:rPr>
          <w:rFonts w:hint="eastAsia" w:ascii="Times New Roman" w:hAnsi="Times New Roman" w:eastAsia="仿宋_GB2312" w:cs="Times New Roman"/>
          <w:color w:val="auto"/>
          <w:sz w:val="32"/>
          <w:szCs w:val="32"/>
          <w:highlight w:val="none"/>
          <w:lang w:eastAsia="zh-CN"/>
        </w:rPr>
        <w:t>了</w:t>
      </w:r>
      <w:r>
        <w:rPr>
          <w:rFonts w:hint="eastAsia" w:ascii="Times New Roman" w:hAnsi="Times New Roman" w:eastAsia="仿宋_GB2312" w:cs="Times New Roman"/>
          <w:color w:val="auto"/>
          <w:sz w:val="32"/>
          <w:szCs w:val="32"/>
          <w:highlight w:val="none"/>
        </w:rPr>
        <w:t>常州城市形象</w:t>
      </w:r>
      <w:r>
        <w:rPr>
          <w:rFonts w:hint="eastAsia"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其中国网球巡回赛</w:t>
      </w:r>
      <w:r>
        <w:rPr>
          <w:rFonts w:hint="eastAsia" w:ascii="Times New Roman" w:hAnsi="Times New Roman" w:eastAsia="仿宋_GB2312" w:cs="Times New Roman"/>
          <w:color w:val="auto"/>
          <w:sz w:val="32"/>
          <w:szCs w:val="32"/>
          <w:highlight w:val="none"/>
          <w:lang w:val="en-US" w:eastAsia="zh-CN"/>
        </w:rPr>
        <w:t>CTA800赛</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常州赛区</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rPr>
        <w:t>获评“</w:t>
      </w:r>
      <w:r>
        <w:rPr>
          <w:rFonts w:hint="eastAsia" w:ascii="Times New Roman" w:hAnsi="Times New Roman" w:eastAsia="仿宋_GB2312" w:cs="Times New Roman"/>
          <w:color w:val="auto"/>
          <w:sz w:val="32"/>
          <w:szCs w:val="32"/>
          <w:highlight w:val="none"/>
          <w:lang w:eastAsia="zh-CN"/>
        </w:rPr>
        <w:t>最佳</w:t>
      </w:r>
      <w:r>
        <w:rPr>
          <w:rFonts w:hint="eastAsia" w:ascii="Times New Roman" w:hAnsi="Times New Roman" w:eastAsia="仿宋_GB2312" w:cs="Times New Roman"/>
          <w:color w:val="auto"/>
          <w:sz w:val="32"/>
          <w:szCs w:val="32"/>
          <w:highlight w:val="none"/>
        </w:rPr>
        <w:t>赛区”</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2024常州西太湖半程马拉松、2024中国马拉松精英排名赛暨长荡湖马拉松等路跑赛事</w:t>
      </w:r>
      <w:r>
        <w:rPr>
          <w:rFonts w:hint="eastAsia" w:ascii="Times New Roman" w:hAnsi="Times New Roman" w:eastAsia="仿宋_GB2312" w:cs="Times New Roman"/>
          <w:color w:val="auto"/>
          <w:sz w:val="32"/>
          <w:szCs w:val="32"/>
          <w:highlight w:val="none"/>
        </w:rPr>
        <w:t>激发</w:t>
      </w:r>
      <w:r>
        <w:rPr>
          <w:rFonts w:hint="eastAsia" w:ascii="Times New Roman" w:hAnsi="Times New Roman" w:eastAsia="仿宋_GB2312" w:cs="Times New Roman"/>
          <w:color w:val="auto"/>
          <w:sz w:val="32"/>
          <w:szCs w:val="32"/>
          <w:highlight w:val="none"/>
          <w:lang w:eastAsia="zh-CN"/>
        </w:rPr>
        <w:t>了</w:t>
      </w:r>
      <w:r>
        <w:rPr>
          <w:rFonts w:hint="eastAsia" w:ascii="Times New Roman" w:hAnsi="Times New Roman" w:eastAsia="仿宋_GB2312" w:cs="Times New Roman"/>
          <w:color w:val="auto"/>
          <w:sz w:val="32"/>
          <w:szCs w:val="32"/>
          <w:highlight w:val="none"/>
        </w:rPr>
        <w:t>全民参与体育健身的热情，传播</w:t>
      </w:r>
      <w:r>
        <w:rPr>
          <w:rFonts w:hint="eastAsia" w:ascii="Times New Roman" w:hAnsi="Times New Roman" w:eastAsia="仿宋_GB2312" w:cs="Times New Roman"/>
          <w:color w:val="auto"/>
          <w:sz w:val="32"/>
          <w:szCs w:val="32"/>
          <w:highlight w:val="none"/>
          <w:lang w:eastAsia="zh-CN"/>
        </w:rPr>
        <w:t>了</w:t>
      </w:r>
      <w:r>
        <w:rPr>
          <w:rFonts w:hint="eastAsia" w:ascii="Times New Roman" w:hAnsi="Times New Roman" w:eastAsia="仿宋_GB2312" w:cs="Times New Roman"/>
          <w:color w:val="auto"/>
          <w:sz w:val="32"/>
          <w:szCs w:val="32"/>
          <w:highlight w:val="none"/>
        </w:rPr>
        <w:t>运动健康的理念。通过各类省级赛事举办，为青少年搭建专业平台，创造更多竞技机会，推动青少年体育活动和竞技体育发展，也为国家队、省市专业队发掘优秀后备人才。</w:t>
      </w:r>
    </w:p>
    <w:p w14:paraId="11DE1005">
      <w:pPr>
        <w:keepNext w:val="0"/>
        <w:keepLines w:val="0"/>
        <w:pageBreakBefore w:val="0"/>
        <w:kinsoku/>
        <w:wordWrap/>
        <w:overflowPunct/>
        <w:topLinePunct w:val="0"/>
        <w:autoSpaceDE/>
        <w:autoSpaceDN/>
        <w:bidi w:val="0"/>
        <w:spacing w:line="570" w:lineRule="exact"/>
        <w:ind w:firstLine="624" w:firstLineChars="200"/>
        <w:textAlignment w:val="auto"/>
        <w:rPr>
          <w:rFonts w:hint="default" w:ascii="Times New Roman" w:hAnsi="Times New Roman" w:eastAsia="仿宋_GB2312" w:cs="Times New Roman"/>
          <w:b/>
          <w:color w:val="auto"/>
          <w:sz w:val="32"/>
          <w:szCs w:val="32"/>
          <w:highlight w:val="none"/>
          <w:lang w:eastAsia="zh-CN"/>
        </w:rPr>
      </w:pPr>
      <w:r>
        <w:rPr>
          <w:rFonts w:hint="default" w:ascii="Times New Roman" w:hAnsi="Times New Roman" w:eastAsia="仿宋_GB2312" w:cs="Times New Roman"/>
          <w:b/>
          <w:color w:val="auto"/>
          <w:sz w:val="32"/>
          <w:szCs w:val="32"/>
          <w:highlight w:val="none"/>
        </w:rPr>
        <w:t>2．项目具体实施内容及达到的效果描述</w:t>
      </w:r>
      <w:r>
        <w:rPr>
          <w:rFonts w:hint="default" w:ascii="Times New Roman" w:hAnsi="Times New Roman" w:eastAsia="仿宋_GB2312" w:cs="Times New Roman"/>
          <w:b/>
          <w:color w:val="auto"/>
          <w:sz w:val="32"/>
          <w:szCs w:val="32"/>
          <w:highlight w:val="none"/>
          <w:lang w:eastAsia="zh-CN"/>
        </w:rPr>
        <w:t>（</w:t>
      </w:r>
      <w:r>
        <w:rPr>
          <w:rFonts w:hint="default" w:ascii="Times New Roman" w:hAnsi="Times New Roman" w:eastAsia="仿宋_GB2312" w:cs="Times New Roman"/>
          <w:b/>
          <w:color w:val="auto"/>
          <w:sz w:val="32"/>
          <w:szCs w:val="32"/>
          <w:highlight w:val="none"/>
          <w:lang w:val="en-US" w:eastAsia="zh-CN"/>
        </w:rPr>
        <w:t>经济效益、社会效益、可持续发展</w:t>
      </w:r>
      <w:r>
        <w:rPr>
          <w:rFonts w:hint="default" w:ascii="Times New Roman" w:hAnsi="Times New Roman" w:eastAsia="仿宋_GB2312" w:cs="Times New Roman"/>
          <w:b/>
          <w:color w:val="auto"/>
          <w:sz w:val="32"/>
          <w:szCs w:val="32"/>
          <w:highlight w:val="none"/>
          <w:lang w:eastAsia="zh-CN"/>
        </w:rPr>
        <w:t>）</w:t>
      </w:r>
    </w:p>
    <w:p w14:paraId="1A34EB58">
      <w:pPr>
        <w:keepNext w:val="0"/>
        <w:keepLines w:val="0"/>
        <w:pageBreakBefore w:val="0"/>
        <w:kinsoku/>
        <w:wordWrap/>
        <w:overflowPunct/>
        <w:topLinePunct w:val="0"/>
        <w:autoSpaceDE/>
        <w:autoSpaceDN/>
        <w:bidi w:val="0"/>
        <w:spacing w:line="570" w:lineRule="exact"/>
        <w:ind w:firstLine="624"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项目共有</w:t>
      </w:r>
      <w:r>
        <w:rPr>
          <w:rFonts w:hint="eastAsia" w:ascii="Times New Roman" w:hAnsi="Times New Roman" w:eastAsia="仿宋_GB2312"/>
          <w:sz w:val="32"/>
          <w:szCs w:val="32"/>
          <w:lang w:val="en-US" w:eastAsia="zh-CN"/>
        </w:rPr>
        <w:t>36</w:t>
      </w:r>
      <w:r>
        <w:rPr>
          <w:rFonts w:hint="eastAsia" w:ascii="Times New Roman" w:hAnsi="Times New Roman" w:eastAsia="仿宋_GB2312"/>
          <w:sz w:val="32"/>
          <w:szCs w:val="32"/>
        </w:rPr>
        <w:t>项内容，分别为中国羽毛球公开赛、国际青少年羽毛球业余公开赛</w:t>
      </w:r>
      <w:r>
        <w:rPr>
          <w:rFonts w:hint="eastAsia" w:eastAsia="仿宋_GB2312"/>
          <w:sz w:val="32"/>
          <w:szCs w:val="32"/>
          <w:lang w:eastAsia="zh-CN"/>
        </w:rPr>
        <w:t>等</w:t>
      </w:r>
      <w:r>
        <w:rPr>
          <w:rFonts w:hint="eastAsia" w:ascii="Times New Roman" w:hAnsi="Times New Roman" w:eastAsia="仿宋_GB2312"/>
          <w:sz w:val="32"/>
          <w:szCs w:val="32"/>
        </w:rPr>
        <w:t>国际赛事</w:t>
      </w:r>
      <w:r>
        <w:rPr>
          <w:rFonts w:hint="eastAsia" w:ascii="Times New Roman" w:hAnsi="Times New Roman" w:eastAsia="仿宋_GB2312"/>
          <w:sz w:val="32"/>
          <w:szCs w:val="32"/>
          <w:lang w:val="en-US" w:eastAsia="zh-CN"/>
        </w:rPr>
        <w:t>2</w:t>
      </w:r>
      <w:r>
        <w:rPr>
          <w:rFonts w:hint="eastAsia" w:ascii="Times New Roman" w:hAnsi="Times New Roman" w:eastAsia="仿宋_GB2312"/>
          <w:sz w:val="32"/>
          <w:szCs w:val="32"/>
        </w:rPr>
        <w:t>项</w:t>
      </w:r>
      <w:r>
        <w:rPr>
          <w:rFonts w:hint="eastAsia" w:eastAsia="仿宋_GB2312"/>
          <w:sz w:val="32"/>
          <w:szCs w:val="32"/>
          <w:lang w:eastAsia="zh-CN"/>
        </w:rPr>
        <w:t>次</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项目经费</w:t>
      </w:r>
      <w:r>
        <w:rPr>
          <w:rFonts w:hint="eastAsia" w:eastAsia="仿宋_GB2312"/>
          <w:sz w:val="32"/>
          <w:szCs w:val="32"/>
          <w:lang w:eastAsia="zh-CN"/>
        </w:rPr>
        <w:t>共计</w:t>
      </w:r>
      <w:r>
        <w:rPr>
          <w:rFonts w:hint="eastAsia" w:eastAsia="仿宋_GB2312"/>
          <w:sz w:val="32"/>
          <w:szCs w:val="32"/>
          <w:lang w:val="en-US" w:eastAsia="zh-CN"/>
        </w:rPr>
        <w:t>5</w:t>
      </w:r>
      <w:r>
        <w:rPr>
          <w:rFonts w:hint="eastAsia" w:ascii="Times New Roman" w:hAnsi="Times New Roman" w:eastAsia="仿宋_GB2312"/>
          <w:sz w:val="32"/>
          <w:szCs w:val="32"/>
        </w:rPr>
        <w:t>50万元。中国网球巡回赛CTA800赛项目经费200</w:t>
      </w:r>
      <w:r>
        <w:rPr>
          <w:rFonts w:hint="eastAsia" w:eastAsia="仿宋_GB2312"/>
          <w:sz w:val="32"/>
          <w:szCs w:val="32"/>
          <w:lang w:eastAsia="zh-CN"/>
        </w:rPr>
        <w:t>、</w:t>
      </w:r>
      <w:r>
        <w:rPr>
          <w:rFonts w:hint="eastAsia" w:ascii="Times New Roman" w:hAnsi="Times New Roman" w:eastAsia="仿宋_GB2312"/>
          <w:sz w:val="32"/>
          <w:szCs w:val="32"/>
          <w:lang w:eastAsia="zh-CN"/>
        </w:rPr>
        <w:t>西太湖半程马拉松赛</w:t>
      </w:r>
      <w:r>
        <w:rPr>
          <w:rFonts w:hint="eastAsia" w:eastAsia="仿宋_GB2312"/>
          <w:sz w:val="32"/>
          <w:szCs w:val="32"/>
          <w:lang w:eastAsia="zh-CN"/>
        </w:rPr>
        <w:t>等</w:t>
      </w:r>
      <w:r>
        <w:rPr>
          <w:rFonts w:hint="eastAsia" w:ascii="Times New Roman" w:hAnsi="Times New Roman" w:eastAsia="仿宋_GB2312"/>
          <w:sz w:val="32"/>
          <w:szCs w:val="32"/>
        </w:rPr>
        <w:t>全</w:t>
      </w:r>
      <w:r>
        <w:rPr>
          <w:rFonts w:hint="eastAsia" w:ascii="Times New Roman" w:hAnsi="Times New Roman" w:eastAsia="仿宋_GB2312"/>
          <w:color w:val="auto"/>
          <w:sz w:val="32"/>
          <w:szCs w:val="32"/>
        </w:rPr>
        <w:t>国比赛</w:t>
      </w:r>
      <w:r>
        <w:rPr>
          <w:rFonts w:hint="eastAsia" w:ascii="Times New Roman" w:hAnsi="Times New Roman" w:eastAsia="仿宋_GB2312"/>
          <w:color w:val="auto"/>
          <w:sz w:val="32"/>
          <w:szCs w:val="32"/>
          <w:lang w:val="en-US" w:eastAsia="zh-CN"/>
        </w:rPr>
        <w:t>11</w:t>
      </w:r>
      <w:r>
        <w:rPr>
          <w:rFonts w:hint="eastAsia" w:ascii="Times New Roman" w:hAnsi="Times New Roman" w:eastAsia="仿宋_GB2312"/>
          <w:color w:val="auto"/>
          <w:sz w:val="32"/>
          <w:szCs w:val="32"/>
        </w:rPr>
        <w:t>项</w:t>
      </w:r>
      <w:r>
        <w:rPr>
          <w:rFonts w:hint="eastAsia" w:eastAsia="仿宋_GB2312"/>
          <w:color w:val="auto"/>
          <w:sz w:val="32"/>
          <w:szCs w:val="32"/>
          <w:lang w:eastAsia="zh-CN"/>
        </w:rPr>
        <w:t>次</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项目经费</w:t>
      </w:r>
      <w:r>
        <w:rPr>
          <w:rFonts w:hint="eastAsia" w:eastAsia="仿宋_GB2312"/>
          <w:sz w:val="32"/>
          <w:szCs w:val="32"/>
          <w:lang w:eastAsia="zh-CN"/>
        </w:rPr>
        <w:t>共计</w:t>
      </w:r>
      <w:r>
        <w:rPr>
          <w:rFonts w:hint="eastAsia" w:eastAsia="仿宋_GB2312"/>
          <w:sz w:val="32"/>
          <w:szCs w:val="32"/>
          <w:lang w:val="en-US" w:eastAsia="zh-CN"/>
        </w:rPr>
        <w:t>730</w:t>
      </w:r>
      <w:r>
        <w:rPr>
          <w:rFonts w:hint="eastAsia" w:ascii="Times New Roman" w:hAnsi="Times New Roman" w:eastAsia="仿宋_GB2312"/>
          <w:sz w:val="32"/>
          <w:szCs w:val="32"/>
          <w:lang w:val="en-US" w:eastAsia="zh-CN"/>
        </w:rPr>
        <w:t>万元。</w:t>
      </w:r>
      <w:r>
        <w:rPr>
          <w:rFonts w:hint="eastAsia" w:ascii="Times New Roman" w:hAnsi="Times New Roman" w:eastAsia="仿宋_GB2312"/>
          <w:sz w:val="32"/>
          <w:szCs w:val="32"/>
        </w:rPr>
        <w:t>省青少年体操节项目经费</w:t>
      </w:r>
      <w:r>
        <w:rPr>
          <w:rFonts w:hint="eastAsia" w:eastAsia="仿宋_GB2312"/>
          <w:sz w:val="32"/>
          <w:szCs w:val="32"/>
          <w:lang w:eastAsia="zh-CN"/>
        </w:rPr>
        <w:t>、</w:t>
      </w:r>
      <w:r>
        <w:rPr>
          <w:rFonts w:hint="eastAsia" w:ascii="Times New Roman" w:hAnsi="Times New Roman" w:eastAsia="仿宋_GB2312"/>
          <w:sz w:val="32"/>
          <w:szCs w:val="32"/>
        </w:rPr>
        <w:t>省青少年田径中长跑</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竞走锦标赛</w:t>
      </w:r>
      <w:r>
        <w:rPr>
          <w:rFonts w:hint="eastAsia" w:eastAsia="仿宋_GB2312"/>
          <w:sz w:val="32"/>
          <w:szCs w:val="32"/>
          <w:lang w:eastAsia="zh-CN"/>
        </w:rPr>
        <w:t>等</w:t>
      </w:r>
      <w:r>
        <w:rPr>
          <w:rFonts w:hint="eastAsia" w:ascii="Times New Roman" w:hAnsi="Times New Roman" w:eastAsia="仿宋_GB2312"/>
          <w:sz w:val="32"/>
          <w:szCs w:val="32"/>
        </w:rPr>
        <w:t>省级</w:t>
      </w:r>
      <w:r>
        <w:rPr>
          <w:rFonts w:hint="eastAsia" w:ascii="Times New Roman" w:hAnsi="Times New Roman" w:eastAsia="仿宋_GB2312"/>
          <w:color w:val="auto"/>
          <w:sz w:val="32"/>
          <w:szCs w:val="32"/>
        </w:rPr>
        <w:t>赛事</w:t>
      </w:r>
      <w:r>
        <w:rPr>
          <w:rFonts w:hint="eastAsia" w:ascii="Times New Roman" w:hAnsi="Times New Roman" w:eastAsia="仿宋_GB2312"/>
          <w:color w:val="auto"/>
          <w:sz w:val="32"/>
          <w:szCs w:val="32"/>
          <w:lang w:val="en-US" w:eastAsia="zh-CN"/>
        </w:rPr>
        <w:t>19</w:t>
      </w:r>
      <w:r>
        <w:rPr>
          <w:rFonts w:hint="eastAsia" w:ascii="Times New Roman" w:hAnsi="Times New Roman" w:eastAsia="仿宋_GB2312"/>
          <w:color w:val="auto"/>
          <w:sz w:val="32"/>
          <w:szCs w:val="32"/>
        </w:rPr>
        <w:t>项</w:t>
      </w:r>
      <w:r>
        <w:rPr>
          <w:rFonts w:hint="eastAsia" w:eastAsia="仿宋_GB2312"/>
          <w:sz w:val="32"/>
          <w:szCs w:val="32"/>
          <w:lang w:eastAsia="zh-CN"/>
        </w:rPr>
        <w:t>次</w:t>
      </w:r>
      <w:r>
        <w:rPr>
          <w:rFonts w:hint="eastAsia" w:ascii="Times New Roman" w:hAnsi="Times New Roman" w:eastAsia="仿宋_GB2312"/>
          <w:sz w:val="32"/>
          <w:szCs w:val="32"/>
        </w:rPr>
        <w:t>，项目经费</w:t>
      </w:r>
      <w:r>
        <w:rPr>
          <w:rFonts w:hint="eastAsia" w:eastAsia="仿宋_GB2312"/>
          <w:sz w:val="32"/>
          <w:szCs w:val="32"/>
          <w:lang w:eastAsia="zh-CN"/>
        </w:rPr>
        <w:t>共计</w:t>
      </w:r>
      <w:r>
        <w:rPr>
          <w:rFonts w:hint="eastAsia" w:eastAsia="仿宋_GB2312"/>
          <w:sz w:val="32"/>
          <w:szCs w:val="32"/>
          <w:lang w:val="en-US" w:eastAsia="zh-CN"/>
        </w:rPr>
        <w:t>205</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。全市第二届职工网球、篮球比赛</w:t>
      </w:r>
      <w:r>
        <w:rPr>
          <w:rFonts w:hint="eastAsia" w:eastAsia="仿宋_GB2312"/>
          <w:sz w:val="32"/>
          <w:szCs w:val="32"/>
          <w:lang w:eastAsia="zh-CN"/>
        </w:rPr>
        <w:t>等</w:t>
      </w:r>
      <w:r>
        <w:rPr>
          <w:rFonts w:hint="eastAsia" w:ascii="Times New Roman" w:hAnsi="Times New Roman" w:eastAsia="仿宋_GB2312"/>
          <w:sz w:val="32"/>
          <w:szCs w:val="32"/>
          <w:lang w:eastAsia="zh-CN"/>
        </w:rPr>
        <w:t>市</w:t>
      </w:r>
      <w:r>
        <w:rPr>
          <w:rFonts w:hint="eastAsia" w:ascii="Times New Roman" w:hAnsi="Times New Roman" w:eastAsia="仿宋_GB2312"/>
          <w:sz w:val="32"/>
          <w:szCs w:val="32"/>
        </w:rPr>
        <w:t>级赛</w:t>
      </w:r>
      <w:r>
        <w:rPr>
          <w:rFonts w:hint="eastAsia" w:ascii="Times New Roman" w:hAnsi="Times New Roman" w:eastAsia="仿宋_GB2312"/>
          <w:color w:val="auto"/>
          <w:sz w:val="32"/>
          <w:szCs w:val="32"/>
        </w:rPr>
        <w:t>事</w:t>
      </w:r>
      <w:r>
        <w:rPr>
          <w:rFonts w:hint="eastAsia" w:ascii="Times New Roman" w:hAnsi="Times New Roman" w:eastAsia="仿宋_GB2312"/>
          <w:color w:val="auto"/>
          <w:sz w:val="32"/>
          <w:szCs w:val="32"/>
          <w:lang w:val="en-US" w:eastAsia="zh-CN"/>
        </w:rPr>
        <w:t>1</w:t>
      </w:r>
      <w:r>
        <w:rPr>
          <w:rFonts w:hint="eastAsia" w:ascii="Times New Roman" w:hAnsi="Times New Roman" w:eastAsia="仿宋_GB2312"/>
          <w:color w:val="auto"/>
          <w:sz w:val="32"/>
          <w:szCs w:val="32"/>
        </w:rPr>
        <w:t>项</w:t>
      </w:r>
      <w:r>
        <w:rPr>
          <w:rFonts w:hint="eastAsia" w:eastAsia="仿宋_GB2312"/>
          <w:color w:val="auto"/>
          <w:sz w:val="32"/>
          <w:szCs w:val="32"/>
          <w:lang w:eastAsia="zh-CN"/>
        </w:rPr>
        <w:t>次，</w:t>
      </w:r>
      <w:r>
        <w:rPr>
          <w:rFonts w:hint="eastAsia" w:ascii="Times New Roman" w:hAnsi="Times New Roman" w:eastAsia="仿宋_GB2312"/>
          <w:sz w:val="32"/>
          <w:szCs w:val="32"/>
        </w:rPr>
        <w:t>项目经费</w:t>
      </w:r>
      <w:r>
        <w:rPr>
          <w:rFonts w:hint="eastAsia" w:eastAsia="仿宋_GB2312"/>
          <w:sz w:val="32"/>
          <w:szCs w:val="32"/>
          <w:lang w:eastAsia="zh-CN"/>
        </w:rPr>
        <w:t>共计</w:t>
      </w:r>
      <w:r>
        <w:rPr>
          <w:rFonts w:hint="eastAsia" w:ascii="Times New Roman" w:hAnsi="Times New Roman" w:eastAsia="仿宋_GB2312"/>
          <w:sz w:val="32"/>
          <w:szCs w:val="32"/>
          <w:lang w:eastAsia="zh-CN"/>
        </w:rPr>
        <w:t>15万元。</w:t>
      </w:r>
      <w:r>
        <w:rPr>
          <w:rFonts w:hint="eastAsia" w:ascii="Times New Roman" w:hAnsi="Times New Roman" w:eastAsia="仿宋_GB2312"/>
          <w:sz w:val="32"/>
          <w:szCs w:val="32"/>
        </w:rPr>
        <w:t>裁判员培训项目经费</w:t>
      </w:r>
      <w:r>
        <w:rPr>
          <w:rFonts w:hint="eastAsia" w:ascii="Times New Roman" w:hAnsi="Times New Roman" w:eastAsia="仿宋_GB2312"/>
          <w:sz w:val="32"/>
          <w:szCs w:val="32"/>
          <w:lang w:val="en-US" w:eastAsia="zh-CN"/>
        </w:rPr>
        <w:t>10</w:t>
      </w:r>
      <w:r>
        <w:rPr>
          <w:rFonts w:hint="eastAsia" w:ascii="Times New Roman" w:hAnsi="Times New Roman" w:eastAsia="仿宋_GB2312"/>
          <w:sz w:val="32"/>
          <w:szCs w:val="32"/>
        </w:rPr>
        <w:t>万元，全国性以上赛事补</w:t>
      </w:r>
      <w:r>
        <w:rPr>
          <w:rFonts w:hint="eastAsia" w:ascii="Times New Roman" w:hAnsi="Times New Roman" w:eastAsia="仿宋_GB2312"/>
          <w:sz w:val="32"/>
          <w:szCs w:val="32"/>
          <w:lang w:eastAsia="zh-CN"/>
        </w:rPr>
        <w:t>助</w:t>
      </w:r>
      <w:r>
        <w:rPr>
          <w:rFonts w:hint="eastAsia" w:ascii="Times New Roman" w:hAnsi="Times New Roman" w:eastAsia="仿宋_GB2312"/>
          <w:sz w:val="32"/>
          <w:szCs w:val="32"/>
          <w:lang w:val="en-US" w:eastAsia="zh-CN"/>
        </w:rPr>
        <w:t>329</w:t>
      </w:r>
      <w:r>
        <w:rPr>
          <w:rFonts w:hint="eastAsia" w:ascii="Times New Roman" w:hAnsi="Times New Roman" w:eastAsia="仿宋_GB2312"/>
          <w:sz w:val="32"/>
          <w:szCs w:val="32"/>
        </w:rPr>
        <w:t>万元。竞赛干部培训费</w:t>
      </w:r>
      <w:r>
        <w:rPr>
          <w:rFonts w:hint="eastAsia" w:ascii="Times New Roman" w:hAnsi="Times New Roman" w:eastAsia="仿宋_GB2312"/>
          <w:sz w:val="32"/>
          <w:szCs w:val="32"/>
          <w:lang w:val="en-US" w:eastAsia="zh-CN"/>
        </w:rPr>
        <w:t>10</w:t>
      </w:r>
      <w:r>
        <w:rPr>
          <w:rFonts w:hint="eastAsia" w:ascii="Times New Roman" w:hAnsi="Times New Roman" w:eastAsia="仿宋_GB2312"/>
          <w:sz w:val="32"/>
          <w:szCs w:val="32"/>
        </w:rPr>
        <w:t>万元。</w:t>
      </w:r>
    </w:p>
    <w:p w14:paraId="6B028F65">
      <w:pPr>
        <w:keepNext w:val="0"/>
        <w:keepLines w:val="0"/>
        <w:pageBreakBefore w:val="0"/>
        <w:kinsoku/>
        <w:wordWrap/>
        <w:overflowPunct/>
        <w:topLinePunct w:val="0"/>
        <w:autoSpaceDE/>
        <w:autoSpaceDN/>
        <w:bidi w:val="0"/>
        <w:spacing w:line="570" w:lineRule="exact"/>
        <w:ind w:firstLine="624"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通过体彩公益金对体育竞赛的支持和投入，</w:t>
      </w:r>
      <w:r>
        <w:rPr>
          <w:rFonts w:hint="eastAsia" w:eastAsia="仿宋_GB2312"/>
          <w:sz w:val="32"/>
          <w:szCs w:val="32"/>
          <w:lang w:eastAsia="zh-CN"/>
        </w:rPr>
        <w:t>一是</w:t>
      </w:r>
      <w:r>
        <w:rPr>
          <w:rFonts w:hint="eastAsia" w:ascii="Times New Roman" w:hAnsi="Times New Roman" w:eastAsia="仿宋_GB2312"/>
          <w:sz w:val="32"/>
          <w:szCs w:val="32"/>
        </w:rPr>
        <w:t>有助于</w:t>
      </w:r>
      <w:r>
        <w:rPr>
          <w:rFonts w:hint="eastAsia" w:eastAsia="仿宋_GB2312"/>
          <w:sz w:val="32"/>
          <w:szCs w:val="32"/>
          <w:lang w:eastAsia="zh-CN"/>
        </w:rPr>
        <w:t>赛事</w:t>
      </w:r>
      <w:r>
        <w:rPr>
          <w:rFonts w:hint="eastAsia" w:ascii="Times New Roman" w:hAnsi="Times New Roman" w:eastAsia="仿宋_GB2312"/>
          <w:sz w:val="32"/>
          <w:szCs w:val="32"/>
        </w:rPr>
        <w:t>引入专业裁判团队</w:t>
      </w:r>
      <w:r>
        <w:rPr>
          <w:rFonts w:hint="eastAsia" w:eastAsia="仿宋_GB2312"/>
          <w:sz w:val="32"/>
          <w:szCs w:val="32"/>
          <w:lang w:eastAsia="zh-CN"/>
        </w:rPr>
        <w:t>和</w:t>
      </w:r>
      <w:r>
        <w:rPr>
          <w:rFonts w:hint="eastAsia" w:ascii="Times New Roman" w:hAnsi="Times New Roman" w:eastAsia="仿宋_GB2312"/>
          <w:sz w:val="32"/>
          <w:szCs w:val="32"/>
        </w:rPr>
        <w:t>先进</w:t>
      </w:r>
      <w:r>
        <w:rPr>
          <w:rFonts w:hint="eastAsia" w:eastAsia="仿宋_GB2312"/>
          <w:sz w:val="32"/>
          <w:szCs w:val="32"/>
          <w:lang w:eastAsia="zh-CN"/>
        </w:rPr>
        <w:t>的</w:t>
      </w:r>
      <w:r>
        <w:rPr>
          <w:rFonts w:hint="eastAsia" w:ascii="Times New Roman" w:hAnsi="Times New Roman" w:eastAsia="仿宋_GB2312"/>
          <w:sz w:val="32"/>
          <w:szCs w:val="32"/>
        </w:rPr>
        <w:t>赛事运营模式，让赛事更规范、更具竞争力</w:t>
      </w:r>
      <w:r>
        <w:rPr>
          <w:rFonts w:hint="eastAsia" w:eastAsia="仿宋_GB2312"/>
          <w:sz w:val="32"/>
          <w:szCs w:val="32"/>
          <w:lang w:eastAsia="zh-CN"/>
        </w:rPr>
        <w:t>。二是从赛事的场地设施升级、赛事服务到后勤保障，体彩公益金提供了稳定的资金支持，解决了赛事举办中的硬件和软件短板，让赛事能更顺利、更高质量地开展，为</w:t>
      </w:r>
      <w:r>
        <w:rPr>
          <w:rFonts w:hint="eastAsia" w:ascii="Times New Roman" w:hAnsi="Times New Roman" w:eastAsia="仿宋_GB2312"/>
          <w:sz w:val="32"/>
          <w:szCs w:val="32"/>
        </w:rPr>
        <w:t>促进体育竞赛</w:t>
      </w:r>
      <w:r>
        <w:rPr>
          <w:rFonts w:hint="eastAsia" w:eastAsia="仿宋_GB2312"/>
          <w:sz w:val="32"/>
          <w:szCs w:val="32"/>
          <w:lang w:eastAsia="zh-CN"/>
        </w:rPr>
        <w:t>提升</w:t>
      </w:r>
      <w:r>
        <w:rPr>
          <w:rFonts w:hint="eastAsia" w:ascii="Times New Roman" w:hAnsi="Times New Roman" w:eastAsia="仿宋_GB2312"/>
          <w:sz w:val="32"/>
          <w:szCs w:val="32"/>
        </w:rPr>
        <w:t>专业化和国际化水平提供了坚实的物质基础</w:t>
      </w:r>
      <w:r>
        <w:rPr>
          <w:rFonts w:hint="eastAsia" w:eastAsia="仿宋_GB2312"/>
          <w:sz w:val="32"/>
          <w:szCs w:val="32"/>
          <w:lang w:eastAsia="zh-CN"/>
        </w:rPr>
        <w:t>。三是</w:t>
      </w:r>
      <w:r>
        <w:rPr>
          <w:rFonts w:hint="eastAsia" w:ascii="Times New Roman" w:hAnsi="Times New Roman" w:eastAsia="仿宋_GB2312"/>
          <w:sz w:val="32"/>
          <w:szCs w:val="32"/>
        </w:rPr>
        <w:t>体彩公益金</w:t>
      </w:r>
      <w:r>
        <w:rPr>
          <w:rFonts w:hint="eastAsia" w:eastAsia="仿宋_GB2312"/>
          <w:sz w:val="32"/>
          <w:szCs w:val="32"/>
          <w:lang w:eastAsia="zh-CN"/>
        </w:rPr>
        <w:t>可用于举办马拉松等群众基础好的赛事、推广全民健身活动，降低参与门槛，让更多普通人有机会接触和参与体育竞赛，提升了全民体育热情，</w:t>
      </w:r>
      <w:r>
        <w:rPr>
          <w:rFonts w:hint="eastAsia" w:ascii="Times New Roman" w:hAnsi="Times New Roman" w:eastAsia="仿宋_GB2312"/>
          <w:sz w:val="32"/>
          <w:szCs w:val="32"/>
        </w:rPr>
        <w:t>推动了体育竞赛的普及和参与度的提升，还增强了体育竞赛的社会效益和影响力。</w:t>
      </w:r>
    </w:p>
    <w:p w14:paraId="450A220F">
      <w:pPr>
        <w:keepNext w:val="0"/>
        <w:keepLines w:val="0"/>
        <w:pageBreakBefore w:val="0"/>
        <w:kinsoku/>
        <w:wordWrap/>
        <w:overflowPunct/>
        <w:topLinePunct w:val="0"/>
        <w:autoSpaceDE/>
        <w:autoSpaceDN/>
        <w:bidi w:val="0"/>
        <w:spacing w:line="570" w:lineRule="exact"/>
        <w:ind w:firstLine="624"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体彩公益金</w:t>
      </w:r>
      <w:r>
        <w:rPr>
          <w:rFonts w:hint="eastAsia" w:eastAsia="仿宋_GB2312"/>
          <w:sz w:val="32"/>
          <w:szCs w:val="32"/>
          <w:lang w:eastAsia="zh-CN"/>
        </w:rPr>
        <w:t>在竞赛中的有效使用，</w:t>
      </w:r>
      <w:r>
        <w:rPr>
          <w:rFonts w:hint="eastAsia" w:ascii="Times New Roman" w:hAnsi="Times New Roman" w:eastAsia="仿宋_GB2312"/>
          <w:sz w:val="32"/>
          <w:szCs w:val="32"/>
        </w:rPr>
        <w:t>更好地满足了广大民众对于体育事业发展的期待，为他们提供了更多参与和支持体育事业的机会</w:t>
      </w:r>
      <w:r>
        <w:rPr>
          <w:rFonts w:hint="eastAsia" w:eastAsia="仿宋_GB2312"/>
          <w:sz w:val="32"/>
          <w:szCs w:val="32"/>
          <w:lang w:eastAsia="zh-CN"/>
        </w:rPr>
        <w:t>，</w:t>
      </w:r>
      <w:r>
        <w:rPr>
          <w:rFonts w:hint="eastAsia" w:ascii="Times New Roman" w:hAnsi="Times New Roman" w:eastAsia="仿宋_GB2312"/>
          <w:sz w:val="32"/>
          <w:szCs w:val="32"/>
        </w:rPr>
        <w:t>同时进一步提升了体育彩票“公益彩票，乐善人生”的良好公益形象。</w:t>
      </w:r>
    </w:p>
    <w:p w14:paraId="4A996E23">
      <w:pPr>
        <w:widowControl/>
        <w:adjustRightInd w:val="0"/>
        <w:snapToGrid w:val="0"/>
        <w:spacing w:line="580" w:lineRule="exact"/>
        <w:ind w:firstLine="624" w:firstLineChars="200"/>
        <w:rPr>
          <w:rFonts w:hint="default" w:ascii="Times New Roman" w:hAnsi="Times New Roman" w:eastAsia="黑体" w:cs="Times New Roman"/>
          <w:color w:val="auto"/>
          <w:szCs w:val="32"/>
          <w:highlight w:val="none"/>
          <w:lang w:val="en-US" w:eastAsia="zh-CN"/>
        </w:rPr>
      </w:pPr>
      <w:r>
        <w:rPr>
          <w:rFonts w:hint="default" w:ascii="Times New Roman" w:hAnsi="Times New Roman" w:eastAsia="黑体" w:cs="Times New Roman"/>
          <w:color w:val="auto"/>
          <w:szCs w:val="32"/>
          <w:highlight w:val="none"/>
          <w:lang w:val="en-US" w:eastAsia="zh-CN"/>
        </w:rPr>
        <w:t>二、资助项目宣传工作开展情况</w:t>
      </w:r>
    </w:p>
    <w:p w14:paraId="78C0FF13">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体育竞赛经费项目预算金额</w:t>
      </w:r>
      <w:r>
        <w:rPr>
          <w:rFonts w:hint="eastAsia" w:ascii="Times New Roman" w:hAnsi="Times New Roman" w:eastAsia="仿宋_GB2312"/>
          <w:sz w:val="32"/>
          <w:szCs w:val="32"/>
          <w:lang w:val="en-US" w:eastAsia="zh-CN"/>
        </w:rPr>
        <w:t>1850</w:t>
      </w:r>
      <w:r>
        <w:rPr>
          <w:rFonts w:hint="eastAsia" w:ascii="Times New Roman" w:hAnsi="Times New Roman" w:eastAsia="仿宋_GB2312"/>
          <w:sz w:val="32"/>
          <w:szCs w:val="32"/>
        </w:rPr>
        <w:t>万元，本年度支出</w:t>
      </w:r>
      <w:r>
        <w:rPr>
          <w:rFonts w:hint="eastAsia" w:ascii="Times New Roman" w:hAnsi="Times New Roman" w:eastAsia="仿宋_GB2312"/>
          <w:sz w:val="32"/>
          <w:szCs w:val="32"/>
          <w:lang w:val="en-US" w:eastAsia="zh-CN"/>
        </w:rPr>
        <w:t>1849</w:t>
      </w:r>
      <w:r>
        <w:rPr>
          <w:rFonts w:hint="eastAsia" w:ascii="Times New Roman" w:hAnsi="Times New Roman" w:eastAsia="仿宋_GB2312"/>
          <w:sz w:val="32"/>
          <w:szCs w:val="32"/>
        </w:rPr>
        <w:t>万元，主要用于物料制作及广告宣传等多项赛事主要用于物料制作及广告宣传。项目通过电视转播、纸质媒体、网络媒体等方式对体彩公益金进行宣传，包括比赛场地制作标识牌、施</w:t>
      </w:r>
      <w:r>
        <w:rPr>
          <w:rFonts w:hint="eastAsia" w:ascii="Times New Roman" w:hAnsi="Times New Roman" w:eastAsia="仿宋_GB2312" w:cs="仿宋_GB2312"/>
          <w:spacing w:val="11"/>
          <w:sz w:val="32"/>
          <w:szCs w:val="32"/>
        </w:rPr>
        <w:t>工现场制作标志牌，比赛活动制作横幅、广告牌等</w:t>
      </w:r>
      <w:r>
        <w:rPr>
          <w:rFonts w:hint="eastAsia" w:ascii="Times New Roman" w:hAnsi="Times New Roman" w:eastAsia="仿宋_GB2312"/>
          <w:sz w:val="32"/>
          <w:szCs w:val="32"/>
        </w:rPr>
        <w:t>方式对体彩公益金进行宣传，包括：</w:t>
      </w:r>
    </w:p>
    <w:p w14:paraId="6C7C5381">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ascii="Times New Roman" w:hAnsi="Times New Roman" w:eastAsia="仿宋_GB2312"/>
          <w:sz w:val="32"/>
          <w:szCs w:val="32"/>
        </w:rPr>
      </w:pPr>
      <w:r>
        <w:rPr>
          <w:rFonts w:hint="eastAsia" w:ascii="Times New Roman" w:hAnsi="Times New Roman" w:eastAsia="仿宋_GB2312"/>
          <w:b/>
          <w:sz w:val="32"/>
          <w:szCs w:val="32"/>
        </w:rPr>
        <w:t>1.</w:t>
      </w:r>
      <w:r>
        <w:rPr>
          <w:rFonts w:hint="eastAsia" w:ascii="Times New Roman" w:hAnsi="Times New Roman" w:eastAsia="仿宋_GB2312"/>
          <w:b/>
          <w:sz w:val="32"/>
          <w:szCs w:val="32"/>
          <w:lang w:eastAsia="zh-Hans"/>
        </w:rPr>
        <w:t>现场宣传</w:t>
      </w:r>
      <w:r>
        <w:rPr>
          <w:rFonts w:hint="eastAsia" w:ascii="Times New Roman" w:hAnsi="Times New Roman" w:eastAsia="仿宋_GB2312"/>
          <w:b/>
          <w:sz w:val="32"/>
          <w:szCs w:val="32"/>
        </w:rPr>
        <w:t>。</w:t>
      </w:r>
      <w:r>
        <w:rPr>
          <w:rFonts w:hint="eastAsia" w:ascii="Times New Roman" w:hAnsi="Times New Roman" w:eastAsia="仿宋_GB2312"/>
          <w:sz w:val="32"/>
          <w:szCs w:val="32"/>
        </w:rPr>
        <w:t>我们对各项竞赛项目进行了全方位的现场宣传，秩序册印刷、比赛场地制作标识牌、施工现场制作标识牌、比赛活动制作横幅、路旗、广告牌、资助标牌等均按照《资助项目宣传管理办法》要求的宣传规范进行实施。</w:t>
      </w:r>
    </w:p>
    <w:p w14:paraId="2E7E00AF">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ascii="Times New Roman" w:hAnsi="Times New Roman" w:eastAsia="仿宋_GB2312"/>
          <w:sz w:val="32"/>
          <w:szCs w:val="32"/>
        </w:rPr>
      </w:pPr>
      <w:r>
        <w:rPr>
          <w:rFonts w:hint="eastAsia" w:ascii="Times New Roman" w:hAnsi="Times New Roman" w:eastAsia="仿宋_GB2312"/>
          <w:b/>
          <w:sz w:val="32"/>
          <w:szCs w:val="32"/>
        </w:rPr>
        <w:t>2.</w:t>
      </w:r>
      <w:r>
        <w:rPr>
          <w:rFonts w:hint="eastAsia" w:ascii="Times New Roman" w:hAnsi="Times New Roman" w:eastAsia="仿宋_GB2312"/>
          <w:b/>
          <w:sz w:val="32"/>
          <w:szCs w:val="32"/>
          <w:lang w:eastAsia="zh-Hans"/>
        </w:rPr>
        <w:t>媒体宣传</w:t>
      </w:r>
      <w:r>
        <w:rPr>
          <w:rFonts w:hint="eastAsia" w:ascii="Times New Roman" w:hAnsi="Times New Roman" w:eastAsia="仿宋_GB2312"/>
          <w:b/>
          <w:sz w:val="32"/>
          <w:szCs w:val="32"/>
        </w:rPr>
        <w:t>。</w:t>
      </w:r>
      <w:r>
        <w:rPr>
          <w:rFonts w:hint="eastAsia" w:ascii="Times New Roman" w:hAnsi="Times New Roman" w:eastAsia="仿宋_GB2312"/>
          <w:sz w:val="32"/>
          <w:szCs w:val="32"/>
        </w:rPr>
        <w:t>宣传手段包含纸质、广播电视和网络媒体等比</w:t>
      </w:r>
      <w:r>
        <w:rPr>
          <w:rFonts w:hint="eastAsia" w:ascii="Times New Roman" w:hAnsi="Times New Roman" w:eastAsia="仿宋_GB2312"/>
          <w:kern w:val="0"/>
          <w:sz w:val="32"/>
          <w:szCs w:val="32"/>
        </w:rPr>
        <w:t>如：</w:t>
      </w:r>
      <w:r>
        <w:rPr>
          <w:rFonts w:hint="eastAsia" w:ascii="Times New Roman" w:hAnsi="Times New Roman" w:eastAsia="仿宋_GB2312"/>
          <w:kern w:val="0"/>
          <w:sz w:val="32"/>
          <w:szCs w:val="32"/>
          <w:lang w:eastAsia="zh-Hans"/>
        </w:rPr>
        <w:t>在</w:t>
      </w:r>
      <w:r>
        <w:rPr>
          <w:rFonts w:hint="eastAsia" w:ascii="Times New Roman" w:hAnsi="Times New Roman" w:eastAsia="仿宋_GB2312" w:cs="仿宋_GB2312"/>
          <w:spacing w:val="11"/>
          <w:sz w:val="32"/>
          <w:szCs w:val="32"/>
        </w:rPr>
        <w:t>中央级媒体（新华网、</w:t>
      </w:r>
      <w:r>
        <w:rPr>
          <w:rFonts w:hint="eastAsia" w:ascii="Times New Roman" w:hAnsi="Times New Roman" w:eastAsia="仿宋_GB2312" w:cs="仿宋_GB2312"/>
          <w:color w:val="000000" w:themeColor="text1"/>
          <w:spacing w:val="11"/>
          <w:sz w:val="32"/>
          <w:szCs w:val="32"/>
          <w14:textFill>
            <w14:solidFill>
              <w14:schemeClr w14:val="tx1"/>
            </w14:solidFill>
          </w14:textFill>
        </w:rPr>
        <w:t>人民体育、学习强国等）、省部级媒体（江苏电视台、新华日报、扬子晚报、现代快报等）、常州市级媒体（常州日报、常州晚报、常州广播电视台、常州网、中吴网、常州政府网、微常州、常州手机台）、门户网站（人民网、新华网、网易、新浪、搜狐等）、新媒体客户端（微信、微博</w:t>
      </w:r>
      <w:r>
        <w:rPr>
          <w:rFonts w:hint="eastAsia" w:ascii="Times New Roman" w:hAnsi="Times New Roman" w:eastAsia="仿宋_GB2312" w:cs="仿宋_GB2312"/>
          <w:spacing w:val="11"/>
          <w:sz w:val="32"/>
          <w:szCs w:val="32"/>
        </w:rPr>
        <w:t>、抖音、综合新闻客户端等）以及中央、江苏省和常州市人民政府网站都对赛事的各项工作进行了详尽的宣传报道和新闻发布。</w:t>
      </w:r>
      <w:r>
        <w:rPr>
          <w:rFonts w:hint="eastAsia" w:ascii="Times New Roman" w:hAnsi="Times New Roman" w:eastAsia="仿宋_GB2312"/>
          <w:sz w:val="32"/>
          <w:szCs w:val="32"/>
        </w:rPr>
        <w:t>为赛期预热起到良好效果。</w:t>
      </w:r>
    </w:p>
    <w:p w14:paraId="57E96F01">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default" w:ascii="Times New Roman" w:hAnsi="Times New Roman" w:eastAsia="仿宋_GB2312" w:cs="Times New Roman"/>
          <w:b/>
          <w:color w:val="auto"/>
          <w:szCs w:val="32"/>
          <w:highlight w:val="none"/>
        </w:rPr>
      </w:pPr>
      <w:r>
        <w:rPr>
          <w:rFonts w:hint="default" w:ascii="Times New Roman" w:hAnsi="Times New Roman" w:eastAsia="仿宋_GB2312" w:cs="Times New Roman"/>
          <w:b/>
          <w:color w:val="auto"/>
          <w:sz w:val="32"/>
          <w:szCs w:val="32"/>
          <w:highlight w:val="none"/>
        </w:rPr>
        <w:t>（3）图片及影像资料等信</w:t>
      </w:r>
      <w:r>
        <w:rPr>
          <w:rFonts w:hint="default" w:ascii="Times New Roman" w:hAnsi="Times New Roman" w:eastAsia="仿宋_GB2312" w:cs="Times New Roman"/>
          <w:b/>
          <w:color w:val="auto"/>
          <w:szCs w:val="32"/>
          <w:highlight w:val="none"/>
        </w:rPr>
        <w:t>息</w:t>
      </w:r>
    </w:p>
    <w:p w14:paraId="68E5A036">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default" w:ascii="Times New Roman" w:hAnsi="Times New Roman" w:eastAsia="仿宋_GB2312" w:cs="Times New Roman"/>
          <w:b/>
          <w:color w:val="auto"/>
          <w:szCs w:val="32"/>
          <w:highlight w:val="none"/>
        </w:rPr>
      </w:pPr>
      <w:r>
        <w:rPr>
          <w:rFonts w:hint="eastAsia" w:ascii="Times New Roman" w:hAnsi="Times New Roman" w:eastAsia="仿宋_GB2312" w:cs="Times New Roman"/>
          <w:b/>
          <w:color w:val="auto"/>
          <w:szCs w:val="32"/>
          <w:highlight w:val="none"/>
          <w:lang w:eastAsia="zh-CN"/>
        </w:rPr>
        <w:drawing>
          <wp:anchor distT="0" distB="0" distL="114300" distR="114300" simplePos="0" relativeHeight="251660288" behindDoc="0" locked="0" layoutInCell="1" allowOverlap="1">
            <wp:simplePos x="0" y="0"/>
            <wp:positionH relativeFrom="column">
              <wp:posOffset>205740</wp:posOffset>
            </wp:positionH>
            <wp:positionV relativeFrom="paragraph">
              <wp:posOffset>140970</wp:posOffset>
            </wp:positionV>
            <wp:extent cx="5293360" cy="3529965"/>
            <wp:effectExtent l="0" t="0" r="2540" b="13335"/>
            <wp:wrapNone/>
            <wp:docPr id="1" name="图片 1" descr="微信图片_2025062710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627105658"/>
                    <pic:cNvPicPr>
                      <a:picLocks noChangeAspect="1"/>
                    </pic:cNvPicPr>
                  </pic:nvPicPr>
                  <pic:blipFill>
                    <a:blip r:embed="rId4"/>
                    <a:stretch>
                      <a:fillRect/>
                    </a:stretch>
                  </pic:blipFill>
                  <pic:spPr>
                    <a:xfrm>
                      <a:off x="0" y="0"/>
                      <a:ext cx="5293360" cy="3529965"/>
                    </a:xfrm>
                    <a:prstGeom prst="rect">
                      <a:avLst/>
                    </a:prstGeom>
                  </pic:spPr>
                </pic:pic>
              </a:graphicData>
            </a:graphic>
          </wp:anchor>
        </w:drawing>
      </w:r>
    </w:p>
    <w:p w14:paraId="2555294D">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default" w:ascii="Times New Roman" w:hAnsi="Times New Roman" w:eastAsia="仿宋_GB2312" w:cs="Times New Roman"/>
          <w:b/>
          <w:color w:val="auto"/>
          <w:szCs w:val="32"/>
          <w:highlight w:val="none"/>
        </w:rPr>
      </w:pPr>
    </w:p>
    <w:p w14:paraId="3A326224">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default" w:ascii="Times New Roman" w:hAnsi="Times New Roman" w:eastAsia="仿宋_GB2312" w:cs="Times New Roman"/>
          <w:b/>
          <w:color w:val="auto"/>
          <w:szCs w:val="32"/>
          <w:highlight w:val="none"/>
        </w:rPr>
      </w:pPr>
    </w:p>
    <w:p w14:paraId="108FB85E">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default" w:ascii="Times New Roman" w:hAnsi="Times New Roman" w:eastAsia="仿宋_GB2312" w:cs="Times New Roman"/>
          <w:b/>
          <w:color w:val="auto"/>
          <w:szCs w:val="32"/>
          <w:highlight w:val="none"/>
        </w:rPr>
      </w:pPr>
    </w:p>
    <w:p w14:paraId="3EF2BA0B">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default" w:ascii="Times New Roman" w:hAnsi="Times New Roman" w:eastAsia="仿宋_GB2312" w:cs="Times New Roman"/>
          <w:b/>
          <w:color w:val="auto"/>
          <w:szCs w:val="32"/>
          <w:highlight w:val="none"/>
        </w:rPr>
      </w:pPr>
    </w:p>
    <w:p w14:paraId="0A2C5799">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default" w:ascii="Times New Roman" w:hAnsi="Times New Roman" w:eastAsia="仿宋_GB2312" w:cs="Times New Roman"/>
          <w:b/>
          <w:color w:val="auto"/>
          <w:szCs w:val="32"/>
          <w:highlight w:val="none"/>
        </w:rPr>
      </w:pPr>
    </w:p>
    <w:p w14:paraId="1D903E4A">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default" w:ascii="Times New Roman" w:hAnsi="Times New Roman" w:eastAsia="仿宋_GB2312" w:cs="Times New Roman"/>
          <w:b/>
          <w:color w:val="auto"/>
          <w:szCs w:val="32"/>
          <w:highlight w:val="none"/>
        </w:rPr>
      </w:pPr>
    </w:p>
    <w:p w14:paraId="516D567E">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default" w:ascii="Times New Roman" w:hAnsi="Times New Roman" w:eastAsia="仿宋_GB2312" w:cs="Times New Roman"/>
          <w:b/>
          <w:color w:val="auto"/>
          <w:szCs w:val="32"/>
          <w:highlight w:val="none"/>
        </w:rPr>
      </w:pPr>
    </w:p>
    <w:p w14:paraId="23EA8F7F">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534D1301">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default" w:ascii="Times New Roman" w:hAnsi="Times New Roman" w:eastAsia="仿宋_GB2312" w:cs="Times New Roman"/>
          <w:b/>
          <w:color w:val="auto"/>
          <w:szCs w:val="32"/>
          <w:highlight w:val="none"/>
        </w:rPr>
      </w:pPr>
    </w:p>
    <w:p w14:paraId="62FB85EE">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43218BA6">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r>
        <w:rPr>
          <w:rFonts w:hint="eastAsia" w:ascii="Times New Roman" w:hAnsi="Times New Roman" w:eastAsia="仿宋_GB2312" w:cs="Times New Roman"/>
          <w:b/>
          <w:color w:val="auto"/>
          <w:szCs w:val="32"/>
          <w:highlight w:val="none"/>
          <w:lang w:eastAsia="zh-CN"/>
        </w:rPr>
        <w:drawing>
          <wp:anchor distT="0" distB="0" distL="114300" distR="114300" simplePos="0" relativeHeight="251661312" behindDoc="0" locked="0" layoutInCell="1" allowOverlap="1">
            <wp:simplePos x="0" y="0"/>
            <wp:positionH relativeFrom="column">
              <wp:posOffset>43815</wp:posOffset>
            </wp:positionH>
            <wp:positionV relativeFrom="paragraph">
              <wp:posOffset>66675</wp:posOffset>
            </wp:positionV>
            <wp:extent cx="5600700" cy="3733800"/>
            <wp:effectExtent l="0" t="0" r="0" b="0"/>
            <wp:wrapNone/>
            <wp:docPr id="2" name="图片 2" descr="微信图片_2025062710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627105713"/>
                    <pic:cNvPicPr>
                      <a:picLocks noChangeAspect="1"/>
                    </pic:cNvPicPr>
                  </pic:nvPicPr>
                  <pic:blipFill>
                    <a:blip r:embed="rId5"/>
                    <a:stretch>
                      <a:fillRect/>
                    </a:stretch>
                  </pic:blipFill>
                  <pic:spPr>
                    <a:xfrm>
                      <a:off x="0" y="0"/>
                      <a:ext cx="5600700" cy="3733800"/>
                    </a:xfrm>
                    <a:prstGeom prst="rect">
                      <a:avLst/>
                    </a:prstGeom>
                  </pic:spPr>
                </pic:pic>
              </a:graphicData>
            </a:graphic>
          </wp:anchor>
        </w:drawing>
      </w:r>
    </w:p>
    <w:p w14:paraId="15FB0F51">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7B2841F4">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63818E5F">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4DD6ED2E">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318DF8E2">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079429DD">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57E3B24B">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6F4A39C2">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2A7794E1">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467C1C64">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49DDAD46">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r>
        <w:rPr>
          <w:rFonts w:hint="eastAsia" w:ascii="Times New Roman" w:hAnsi="Times New Roman" w:eastAsia="仿宋_GB2312" w:cs="Times New Roman"/>
          <w:b/>
          <w:color w:val="auto"/>
          <w:szCs w:val="32"/>
          <w:highlight w:val="none"/>
          <w:lang w:eastAsia="zh-CN"/>
        </w:rPr>
        <w:drawing>
          <wp:anchor distT="0" distB="0" distL="114300" distR="114300" simplePos="0" relativeHeight="251662336" behindDoc="0" locked="0" layoutInCell="1" allowOverlap="1">
            <wp:simplePos x="0" y="0"/>
            <wp:positionH relativeFrom="column">
              <wp:posOffset>81915</wp:posOffset>
            </wp:positionH>
            <wp:positionV relativeFrom="paragraph">
              <wp:posOffset>161925</wp:posOffset>
            </wp:positionV>
            <wp:extent cx="5614670" cy="3742690"/>
            <wp:effectExtent l="0" t="0" r="5080" b="10160"/>
            <wp:wrapNone/>
            <wp:docPr id="3" name="图片 3" descr="微信图片_2025062710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627105721"/>
                    <pic:cNvPicPr>
                      <a:picLocks noChangeAspect="1"/>
                    </pic:cNvPicPr>
                  </pic:nvPicPr>
                  <pic:blipFill>
                    <a:blip r:embed="rId6"/>
                    <a:stretch>
                      <a:fillRect/>
                    </a:stretch>
                  </pic:blipFill>
                  <pic:spPr>
                    <a:xfrm>
                      <a:off x="0" y="0"/>
                      <a:ext cx="5614670" cy="3742690"/>
                    </a:xfrm>
                    <a:prstGeom prst="rect">
                      <a:avLst/>
                    </a:prstGeom>
                  </pic:spPr>
                </pic:pic>
              </a:graphicData>
            </a:graphic>
          </wp:anchor>
        </w:drawing>
      </w:r>
    </w:p>
    <w:p w14:paraId="14A48E64">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00F1CDC5">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2B3787A9">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35CE76EA">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6BD70A19">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16AFF440">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5E7D9733">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7DD7364C">
      <w:pPr>
        <w:keepNext w:val="0"/>
        <w:keepLines w:val="0"/>
        <w:pageBreakBefore w:val="0"/>
        <w:widowControl/>
        <w:kinsoku/>
        <w:wordWrap/>
        <w:overflowPunct/>
        <w:topLinePunct w:val="0"/>
        <w:autoSpaceDE/>
        <w:autoSpaceDN/>
        <w:bidi w:val="0"/>
        <w:adjustRightInd w:val="0"/>
        <w:snapToGrid w:val="0"/>
        <w:spacing w:line="570" w:lineRule="exact"/>
        <w:ind w:firstLine="624" w:firstLineChars="200"/>
        <w:textAlignment w:val="auto"/>
        <w:rPr>
          <w:rFonts w:hint="eastAsia" w:ascii="Times New Roman" w:hAnsi="Times New Roman" w:eastAsia="仿宋_GB2312" w:cs="Times New Roman"/>
          <w:b/>
          <w:color w:val="auto"/>
          <w:szCs w:val="32"/>
          <w:highlight w:val="none"/>
          <w:lang w:eastAsia="zh-CN"/>
        </w:rPr>
      </w:pPr>
    </w:p>
    <w:p w14:paraId="5CE995E5">
      <w:pPr>
        <w:keepNext w:val="0"/>
        <w:keepLines w:val="0"/>
        <w:pageBreakBefore w:val="0"/>
        <w:widowControl/>
        <w:kinsoku/>
        <w:wordWrap/>
        <w:overflowPunct/>
        <w:topLinePunct w:val="0"/>
        <w:autoSpaceDE/>
        <w:autoSpaceDN/>
        <w:bidi w:val="0"/>
        <w:adjustRightInd w:val="0"/>
        <w:snapToGrid w:val="0"/>
        <w:spacing w:line="570" w:lineRule="exact"/>
        <w:ind w:hanging="16" w:firstLineChars="200"/>
        <w:textAlignment w:val="auto"/>
        <w:rPr>
          <w:rFonts w:hint="eastAsia" w:ascii="Times New Roman" w:hAnsi="Times New Roman" w:eastAsia="仿宋_GB2312" w:cs="Times New Roman"/>
          <w:b/>
          <w:color w:val="auto"/>
          <w:szCs w:val="32"/>
          <w:highlight w:val="none"/>
          <w:lang w:eastAsia="zh-CN"/>
        </w:rPr>
        <w:sectPr>
          <w:pgSz w:w="11906" w:h="16838"/>
          <w:pgMar w:top="2098" w:right="1531" w:bottom="1985" w:left="1531" w:header="737" w:footer="1644" w:gutter="0"/>
          <w:cols w:space="720" w:num="1"/>
          <w:docGrid w:type="linesAndChars" w:linePitch="580" w:charSpace="-1683"/>
        </w:sectPr>
      </w:pPr>
      <w: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drawing>
          <wp:anchor distT="0" distB="0" distL="114300" distR="114300" simplePos="0" relativeHeight="251659264" behindDoc="0" locked="0" layoutInCell="1" allowOverlap="1">
            <wp:simplePos x="0" y="0"/>
            <wp:positionH relativeFrom="column">
              <wp:posOffset>142240</wp:posOffset>
            </wp:positionH>
            <wp:positionV relativeFrom="paragraph">
              <wp:posOffset>1279525</wp:posOffset>
            </wp:positionV>
            <wp:extent cx="5266690" cy="3511550"/>
            <wp:effectExtent l="0" t="0" r="10160" b="12700"/>
            <wp:wrapNone/>
            <wp:docPr id="17" name="图片 17" descr="2024年江苏省青少年田径锦标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4年江苏省青少年田径锦标赛"/>
                    <pic:cNvPicPr>
                      <a:picLocks noChangeAspect="1"/>
                    </pic:cNvPicPr>
                  </pic:nvPicPr>
                  <pic:blipFill>
                    <a:blip r:embed="rId7"/>
                    <a:stretch>
                      <a:fillRect/>
                    </a:stretch>
                  </pic:blipFill>
                  <pic:spPr>
                    <a:xfrm>
                      <a:off x="0" y="0"/>
                      <a:ext cx="5266690" cy="3511550"/>
                    </a:xfrm>
                    <a:prstGeom prst="rect">
                      <a:avLst/>
                    </a:prstGeom>
                  </pic:spPr>
                </pic:pic>
              </a:graphicData>
            </a:graphic>
          </wp:anchor>
        </w:drawing>
      </w:r>
    </w:p>
    <w:p w14:paraId="30BBF8C6">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r>
        <w:rPr>
          <w:rFonts w:hint="eastAsia" w:ascii="Times New Roman" w:hAnsi="Times New Roman" w:eastAsia="仿宋_GB2312" w:cs="Times New Roman"/>
          <w:b/>
          <w:color w:val="auto"/>
          <w:szCs w:val="32"/>
          <w:highlight w:val="none"/>
          <w:lang w:eastAsia="zh-CN"/>
        </w:rPr>
        <w:drawing>
          <wp:anchor distT="0" distB="0" distL="114300" distR="114300" simplePos="0" relativeHeight="251663360" behindDoc="0" locked="0" layoutInCell="1" allowOverlap="1">
            <wp:simplePos x="0" y="0"/>
            <wp:positionH relativeFrom="column">
              <wp:posOffset>254000</wp:posOffset>
            </wp:positionH>
            <wp:positionV relativeFrom="paragraph">
              <wp:posOffset>170180</wp:posOffset>
            </wp:positionV>
            <wp:extent cx="4780280" cy="3200400"/>
            <wp:effectExtent l="0" t="0" r="1270" b="0"/>
            <wp:wrapNone/>
            <wp:docPr id="4" name="图片 4" descr="DSC09189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09189_看图王"/>
                    <pic:cNvPicPr>
                      <a:picLocks noChangeAspect="1"/>
                    </pic:cNvPicPr>
                  </pic:nvPicPr>
                  <pic:blipFill>
                    <a:blip r:embed="rId8"/>
                    <a:stretch>
                      <a:fillRect/>
                    </a:stretch>
                  </pic:blipFill>
                  <pic:spPr>
                    <a:xfrm>
                      <a:off x="0" y="0"/>
                      <a:ext cx="4780280" cy="3200400"/>
                    </a:xfrm>
                    <a:prstGeom prst="rect">
                      <a:avLst/>
                    </a:prstGeom>
                  </pic:spPr>
                </pic:pic>
              </a:graphicData>
            </a:graphic>
          </wp:anchor>
        </w:drawing>
      </w:r>
      <w:r>
        <w:rPr>
          <w:rFonts w:hint="default" w:ascii="Times New Roman" w:hAnsi="Times New Roman" w:eastAsia="Times New Roman" w:cs="Times New Roman"/>
          <w:snapToGrid w:val="0"/>
          <w:color w:val="auto"/>
          <w:w w:val="0"/>
          <w:kern w:val="0"/>
          <w:sz w:val="0"/>
          <w:szCs w:val="0"/>
          <w:highlight w:val="none"/>
          <w:u w:color="000000"/>
          <w:shd w:val="clear" w:color="000000" w:fill="000000"/>
          <w:lang w:val="zh-CN" w:eastAsia="zh-CN" w:bidi="zh-CN"/>
        </w:rPr>
        <w:t xml:space="preserve"> </w:t>
      </w:r>
    </w:p>
    <w:p w14:paraId="0489F625">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0E46697B">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2C6ACAF1">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70C68726">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79F15CC1">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140672B0">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2E794D62">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10D560CB">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3D87109A">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30BB21BE">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003F8FA3">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17C7F2AA">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7FF12988">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00E83D66">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12B8AD12">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41697390">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2FBA596D">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6F2FF201">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75389782">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drawing>
          <wp:inline distT="0" distB="0" distL="114300" distR="114300">
            <wp:extent cx="2548255" cy="3399155"/>
            <wp:effectExtent l="0" t="0" r="4445" b="10795"/>
            <wp:docPr id="5" name="图片 5" descr="微信图片_2025062711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627110905"/>
                    <pic:cNvPicPr>
                      <a:picLocks noChangeAspect="1"/>
                    </pic:cNvPicPr>
                  </pic:nvPicPr>
                  <pic:blipFill>
                    <a:blip r:embed="rId9"/>
                    <a:stretch>
                      <a:fillRect/>
                    </a:stretch>
                  </pic:blipFill>
                  <pic:spPr>
                    <a:xfrm>
                      <a:off x="0" y="0"/>
                      <a:ext cx="2548255" cy="3399155"/>
                    </a:xfrm>
                    <a:prstGeom prst="rect">
                      <a:avLst/>
                    </a:prstGeom>
                  </pic:spPr>
                </pic:pic>
              </a:graphicData>
            </a:graphic>
          </wp:inline>
        </w:drawing>
      </w:r>
      <w: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drawing>
          <wp:inline distT="0" distB="0" distL="114300" distR="114300">
            <wp:extent cx="2637790" cy="3517900"/>
            <wp:effectExtent l="0" t="0" r="10160" b="6350"/>
            <wp:docPr id="6" name="图片 6" descr="微信图片_2025062711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627110909"/>
                    <pic:cNvPicPr>
                      <a:picLocks noChangeAspect="1"/>
                    </pic:cNvPicPr>
                  </pic:nvPicPr>
                  <pic:blipFill>
                    <a:blip r:embed="rId10"/>
                    <a:stretch>
                      <a:fillRect/>
                    </a:stretch>
                  </pic:blipFill>
                  <pic:spPr>
                    <a:xfrm>
                      <a:off x="0" y="0"/>
                      <a:ext cx="2637790" cy="3517900"/>
                    </a:xfrm>
                    <a:prstGeom prst="rect">
                      <a:avLst/>
                    </a:prstGeom>
                  </pic:spPr>
                </pic:pic>
              </a:graphicData>
            </a:graphic>
          </wp:inline>
        </w:drawing>
      </w:r>
    </w:p>
    <w:p w14:paraId="03AFA4E5">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47B90471">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08426F15">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23089F7C">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2458EDEF">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75737E8E">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6EFD2DFC">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3C7138B8">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6C24A702">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drawing>
          <wp:inline distT="0" distB="0" distL="114300" distR="114300">
            <wp:extent cx="4998085" cy="3747770"/>
            <wp:effectExtent l="0" t="0" r="12065" b="5080"/>
            <wp:docPr id="7" name="图片 7" descr="f3f0a18bea2c97ed8f7086df20ab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3f0a18bea2c97ed8f7086df20ab591"/>
                    <pic:cNvPicPr>
                      <a:picLocks noChangeAspect="1"/>
                    </pic:cNvPicPr>
                  </pic:nvPicPr>
                  <pic:blipFill>
                    <a:blip r:embed="rId11"/>
                    <a:stretch>
                      <a:fillRect/>
                    </a:stretch>
                  </pic:blipFill>
                  <pic:spPr>
                    <a:xfrm>
                      <a:off x="0" y="0"/>
                      <a:ext cx="4998085" cy="3747770"/>
                    </a:xfrm>
                    <a:prstGeom prst="rect">
                      <a:avLst/>
                    </a:prstGeom>
                  </pic:spPr>
                </pic:pic>
              </a:graphicData>
            </a:graphic>
          </wp:inline>
        </w:drawing>
      </w:r>
    </w:p>
    <w:p w14:paraId="25BC95CB">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55CFB0CC">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641E6204">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drawing>
          <wp:inline distT="0" distB="0" distL="114300" distR="114300">
            <wp:extent cx="4993005" cy="3743960"/>
            <wp:effectExtent l="0" t="0" r="17145" b="8890"/>
            <wp:docPr id="8" name="图片 8" descr="微信图片_2025062712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627121359"/>
                    <pic:cNvPicPr>
                      <a:picLocks noChangeAspect="1"/>
                    </pic:cNvPicPr>
                  </pic:nvPicPr>
                  <pic:blipFill>
                    <a:blip r:embed="rId12"/>
                    <a:stretch>
                      <a:fillRect/>
                    </a:stretch>
                  </pic:blipFill>
                  <pic:spPr>
                    <a:xfrm>
                      <a:off x="0" y="0"/>
                      <a:ext cx="4993005" cy="3743960"/>
                    </a:xfrm>
                    <a:prstGeom prst="rect">
                      <a:avLst/>
                    </a:prstGeom>
                  </pic:spPr>
                </pic:pic>
              </a:graphicData>
            </a:graphic>
          </wp:inline>
        </w:drawing>
      </w:r>
    </w:p>
    <w:p w14:paraId="5DDA91BB">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4F38BA00">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2E370B3B">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3D6CFCE1">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223A878D">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07E7809C">
      <w:pPr>
        <w:rPr>
          <w:rFonts w:hint="default" w:ascii="Times New Roman" w:hAnsi="Times New Roman" w:cs="Times New Roman" w:eastAsiaTheme="minorEastAsia"/>
          <w:snapToGrid w:val="0"/>
          <w:color w:val="auto"/>
          <w:w w:val="0"/>
          <w:kern w:val="0"/>
          <w:sz w:val="0"/>
          <w:szCs w:val="0"/>
          <w:highlight w:val="none"/>
          <w:u w:color="000000"/>
          <w:shd w:val="clear" w:color="000000" w:fill="000000"/>
          <w:lang w:val="zh-CN" w:bidi="zh-CN"/>
        </w:rPr>
      </w:pPr>
    </w:p>
    <w:p w14:paraId="363FE928">
      <w:pPr>
        <w:tabs>
          <w:tab w:val="left" w:pos="1011"/>
        </w:tabs>
        <w:bidi w:val="0"/>
        <w:jc w:val="left"/>
        <w:rPr>
          <w:rFonts w:hint="default"/>
          <w:color w:val="auto"/>
          <w:highlight w:val="none"/>
          <w:lang w:val="zh-CN" w:eastAsia="zh-CN"/>
        </w:rPr>
      </w:pPr>
    </w:p>
    <w:p w14:paraId="6C183C8F">
      <w:pPr>
        <w:tabs>
          <w:tab w:val="left" w:pos="1011"/>
        </w:tabs>
        <w:bidi w:val="0"/>
        <w:jc w:val="left"/>
        <w:rPr>
          <w:rFonts w:hint="default"/>
          <w:color w:val="auto"/>
          <w:highlight w:val="none"/>
          <w:lang w:val="zh-CN" w:eastAsia="zh-CN"/>
        </w:rPr>
      </w:pPr>
    </w:p>
    <w:p w14:paraId="0D973C81">
      <w:pPr>
        <w:tabs>
          <w:tab w:val="left" w:pos="1011"/>
        </w:tabs>
        <w:bidi w:val="0"/>
        <w:jc w:val="left"/>
        <w:rPr>
          <w:rFonts w:hint="default"/>
          <w:color w:val="auto"/>
          <w:highlight w:val="none"/>
          <w:lang w:val="zh-CN" w:eastAsia="zh-CN"/>
        </w:rPr>
      </w:pPr>
    </w:p>
    <w:p w14:paraId="6697F6B5">
      <w:pPr>
        <w:tabs>
          <w:tab w:val="left" w:pos="1011"/>
        </w:tabs>
        <w:bidi w:val="0"/>
        <w:jc w:val="left"/>
        <w:rPr>
          <w:rFonts w:hint="default"/>
          <w:color w:val="auto"/>
          <w:highlight w:val="none"/>
          <w:lang w:val="zh-CN" w:eastAsia="zh-CN"/>
        </w:rPr>
      </w:pPr>
      <w:r>
        <w:rPr>
          <w:rFonts w:hint="default"/>
          <w:color w:val="auto"/>
          <w:highlight w:val="none"/>
          <w:lang w:val="zh-CN" w:eastAsia="zh-CN"/>
        </w:rPr>
        <w:drawing>
          <wp:inline distT="0" distB="0" distL="114300" distR="114300">
            <wp:extent cx="5266690" cy="3127375"/>
            <wp:effectExtent l="0" t="0" r="10160" b="15875"/>
            <wp:docPr id="11" name="图片 1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3"/>
                    <pic:cNvPicPr>
                      <a:picLocks noChangeAspect="1"/>
                    </pic:cNvPicPr>
                  </pic:nvPicPr>
                  <pic:blipFill>
                    <a:blip r:embed="rId13"/>
                    <a:stretch>
                      <a:fillRect/>
                    </a:stretch>
                  </pic:blipFill>
                  <pic:spPr>
                    <a:xfrm>
                      <a:off x="0" y="0"/>
                      <a:ext cx="5266690" cy="3127375"/>
                    </a:xfrm>
                    <a:prstGeom prst="rect">
                      <a:avLst/>
                    </a:prstGeom>
                  </pic:spPr>
                </pic:pic>
              </a:graphicData>
            </a:graphic>
          </wp:inline>
        </w:drawing>
      </w:r>
    </w:p>
    <w:p w14:paraId="4D2F14FD">
      <w:pPr>
        <w:tabs>
          <w:tab w:val="left" w:pos="1011"/>
        </w:tabs>
        <w:bidi w:val="0"/>
        <w:jc w:val="left"/>
        <w:rPr>
          <w:rFonts w:hint="default"/>
          <w:color w:val="auto"/>
          <w:highlight w:val="none"/>
          <w:lang w:val="zh-CN" w:eastAsia="zh-CN"/>
        </w:rPr>
      </w:pPr>
      <w:r>
        <w:rPr>
          <w:rFonts w:hint="default"/>
          <w:color w:val="auto"/>
          <w:highlight w:val="none"/>
          <w:lang w:val="zh-CN" w:eastAsia="zh-CN"/>
        </w:rPr>
        <w:drawing>
          <wp:inline distT="0" distB="0" distL="114300" distR="114300">
            <wp:extent cx="5266690" cy="2941955"/>
            <wp:effectExtent l="0" t="0" r="10160" b="10795"/>
            <wp:docPr id="12" name="图片 12" descr="4173f611728d527a795b5d16c1ef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173f611728d527a795b5d16c1efc5c"/>
                    <pic:cNvPicPr>
                      <a:picLocks noChangeAspect="1"/>
                    </pic:cNvPicPr>
                  </pic:nvPicPr>
                  <pic:blipFill>
                    <a:blip r:embed="rId14"/>
                    <a:stretch>
                      <a:fillRect/>
                    </a:stretch>
                  </pic:blipFill>
                  <pic:spPr>
                    <a:xfrm>
                      <a:off x="0" y="0"/>
                      <a:ext cx="5266690" cy="2941955"/>
                    </a:xfrm>
                    <a:prstGeom prst="rect">
                      <a:avLst/>
                    </a:prstGeom>
                  </pic:spPr>
                </pic:pic>
              </a:graphicData>
            </a:graphic>
          </wp:inline>
        </w:drawing>
      </w:r>
    </w:p>
    <w:p w14:paraId="4F577C22">
      <w:pPr>
        <w:tabs>
          <w:tab w:val="left" w:pos="1011"/>
        </w:tabs>
        <w:bidi w:val="0"/>
        <w:jc w:val="left"/>
        <w:rPr>
          <w:rFonts w:hint="default"/>
          <w:color w:val="auto"/>
          <w:highlight w:val="none"/>
          <w:lang w:val="zh-CN" w:eastAsia="zh-CN"/>
        </w:rPr>
      </w:pPr>
    </w:p>
    <w:p w14:paraId="64FA74B4">
      <w:pPr>
        <w:tabs>
          <w:tab w:val="left" w:pos="1011"/>
        </w:tabs>
        <w:bidi w:val="0"/>
        <w:jc w:val="left"/>
        <w:rPr>
          <w:rFonts w:hint="default"/>
          <w:color w:val="auto"/>
          <w:highlight w:val="none"/>
          <w:lang w:val="zh-CN" w:eastAsia="zh-CN"/>
        </w:rPr>
      </w:pPr>
    </w:p>
    <w:p w14:paraId="6CF5437C">
      <w:pPr>
        <w:tabs>
          <w:tab w:val="left" w:pos="1011"/>
        </w:tabs>
        <w:bidi w:val="0"/>
        <w:jc w:val="left"/>
        <w:rPr>
          <w:rFonts w:hint="default"/>
          <w:color w:val="auto"/>
          <w:highlight w:val="none"/>
          <w:lang w:val="zh-CN" w:eastAsia="zh-CN"/>
        </w:rPr>
      </w:pPr>
    </w:p>
    <w:p w14:paraId="4CE19813">
      <w:pPr>
        <w:tabs>
          <w:tab w:val="left" w:pos="1011"/>
        </w:tabs>
        <w:bidi w:val="0"/>
        <w:jc w:val="left"/>
        <w:rPr>
          <w:rFonts w:hint="default"/>
          <w:color w:val="auto"/>
          <w:highlight w:val="none"/>
          <w:lang w:val="zh-CN" w:eastAsia="zh-CN"/>
        </w:rPr>
      </w:pPr>
      <w:r>
        <w:rPr>
          <w:rFonts w:hint="default"/>
          <w:color w:val="auto"/>
          <w:highlight w:val="none"/>
          <w:lang w:val="zh-CN" w:eastAsia="zh-CN"/>
        </w:rPr>
        <w:drawing>
          <wp:inline distT="0" distB="0" distL="114300" distR="114300">
            <wp:extent cx="5273675" cy="3515995"/>
            <wp:effectExtent l="0" t="0" r="3175" b="8255"/>
            <wp:docPr id="9" name="图片 9" descr="微信图片_2025062714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627141233"/>
                    <pic:cNvPicPr>
                      <a:picLocks noChangeAspect="1"/>
                    </pic:cNvPicPr>
                  </pic:nvPicPr>
                  <pic:blipFill>
                    <a:blip r:embed="rId15"/>
                    <a:stretch>
                      <a:fillRect/>
                    </a:stretch>
                  </pic:blipFill>
                  <pic:spPr>
                    <a:xfrm>
                      <a:off x="0" y="0"/>
                      <a:ext cx="5273675" cy="3515995"/>
                    </a:xfrm>
                    <a:prstGeom prst="rect">
                      <a:avLst/>
                    </a:prstGeom>
                  </pic:spPr>
                </pic:pic>
              </a:graphicData>
            </a:graphic>
          </wp:inline>
        </w:drawing>
      </w:r>
    </w:p>
    <w:p w14:paraId="6F217052">
      <w:pPr>
        <w:tabs>
          <w:tab w:val="left" w:pos="1011"/>
        </w:tabs>
        <w:bidi w:val="0"/>
        <w:jc w:val="left"/>
        <w:rPr>
          <w:rFonts w:hint="default"/>
          <w:color w:val="auto"/>
          <w:highlight w:val="none"/>
          <w:lang w:val="zh-CN" w:eastAsia="zh-CN"/>
        </w:rPr>
      </w:pPr>
    </w:p>
    <w:p w14:paraId="462C09BA">
      <w:pPr>
        <w:tabs>
          <w:tab w:val="left" w:pos="1011"/>
        </w:tabs>
        <w:bidi w:val="0"/>
        <w:jc w:val="left"/>
        <w:rPr>
          <w:rFonts w:hint="default"/>
          <w:color w:val="auto"/>
          <w:highlight w:val="none"/>
          <w:lang w:val="zh-CN" w:eastAsia="zh-CN"/>
        </w:rPr>
      </w:pPr>
      <w:r>
        <w:rPr>
          <w:rFonts w:hint="default"/>
          <w:color w:val="auto"/>
          <w:highlight w:val="none"/>
          <w:lang w:val="zh-CN" w:eastAsia="zh-CN"/>
        </w:rPr>
        <w:drawing>
          <wp:inline distT="0" distB="0" distL="114300" distR="114300">
            <wp:extent cx="5266690" cy="3511550"/>
            <wp:effectExtent l="0" t="0" r="10160" b="1270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16"/>
                    <a:stretch>
                      <a:fillRect/>
                    </a:stretch>
                  </pic:blipFill>
                  <pic:spPr>
                    <a:xfrm>
                      <a:off x="0" y="0"/>
                      <a:ext cx="5266690" cy="3511550"/>
                    </a:xfrm>
                    <a:prstGeom prst="rect">
                      <a:avLst/>
                    </a:prstGeom>
                  </pic:spPr>
                </pic:pic>
              </a:graphicData>
            </a:graphic>
          </wp:inline>
        </w:drawing>
      </w:r>
    </w:p>
    <w:p w14:paraId="0355616D">
      <w:pPr>
        <w:tabs>
          <w:tab w:val="left" w:pos="1011"/>
        </w:tabs>
        <w:bidi w:val="0"/>
        <w:jc w:val="left"/>
        <w:rPr>
          <w:rFonts w:hint="default"/>
          <w:color w:val="auto"/>
          <w:highlight w:val="none"/>
          <w:lang w:val="zh-CN" w:eastAsia="zh-CN"/>
        </w:rPr>
      </w:pPr>
    </w:p>
    <w:p w14:paraId="2F1C45FE">
      <w:pPr>
        <w:tabs>
          <w:tab w:val="left" w:pos="1011"/>
        </w:tabs>
        <w:bidi w:val="0"/>
        <w:jc w:val="left"/>
        <w:rPr>
          <w:rFonts w:hint="default"/>
          <w:color w:val="auto"/>
          <w:highlight w:val="none"/>
          <w:lang w:val="zh-CN" w:eastAsia="zh-CN"/>
        </w:rPr>
      </w:pPr>
    </w:p>
    <w:p w14:paraId="513BC396">
      <w:pPr>
        <w:tabs>
          <w:tab w:val="left" w:pos="1011"/>
        </w:tabs>
        <w:bidi w:val="0"/>
        <w:jc w:val="left"/>
        <w:rPr>
          <w:rFonts w:hint="default"/>
          <w:color w:val="auto"/>
          <w:highlight w:val="none"/>
          <w:lang w:val="zh-CN" w:eastAsia="zh-CN"/>
        </w:rPr>
      </w:pPr>
    </w:p>
    <w:p w14:paraId="433B712C">
      <w:pPr>
        <w:tabs>
          <w:tab w:val="left" w:pos="1011"/>
        </w:tabs>
        <w:bidi w:val="0"/>
        <w:jc w:val="left"/>
        <w:rPr>
          <w:rFonts w:hint="default"/>
          <w:color w:val="auto"/>
          <w:highlight w:val="none"/>
          <w:lang w:val="zh-CN" w:eastAsia="zh-CN"/>
        </w:rPr>
      </w:pPr>
      <w:r>
        <w:rPr>
          <w:rFonts w:hint="default"/>
          <w:color w:val="auto"/>
          <w:highlight w:val="none"/>
          <w:lang w:val="zh-CN" w:eastAsia="zh-CN"/>
        </w:rPr>
        <w:drawing>
          <wp:inline distT="0" distB="0" distL="114300" distR="114300">
            <wp:extent cx="5266690" cy="3511550"/>
            <wp:effectExtent l="0" t="0" r="10160" b="1270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17"/>
                    <a:stretch>
                      <a:fillRect/>
                    </a:stretch>
                  </pic:blipFill>
                  <pic:spPr>
                    <a:xfrm>
                      <a:off x="0" y="0"/>
                      <a:ext cx="5266690" cy="3511550"/>
                    </a:xfrm>
                    <a:prstGeom prst="rect">
                      <a:avLst/>
                    </a:prstGeom>
                  </pic:spPr>
                </pic:pic>
              </a:graphicData>
            </a:graphic>
          </wp:inline>
        </w:drawing>
      </w:r>
    </w:p>
    <w:p w14:paraId="3AB2DBA7">
      <w:pPr>
        <w:tabs>
          <w:tab w:val="left" w:pos="1011"/>
        </w:tabs>
        <w:bidi w:val="0"/>
        <w:jc w:val="left"/>
        <w:rPr>
          <w:rFonts w:hint="default"/>
          <w:color w:val="auto"/>
          <w:highlight w:val="none"/>
          <w:lang w:val="zh-CN" w:eastAsia="zh-CN"/>
        </w:rPr>
      </w:pPr>
    </w:p>
    <w:p w14:paraId="441517CE">
      <w:pPr>
        <w:tabs>
          <w:tab w:val="left" w:pos="1011"/>
        </w:tabs>
        <w:bidi w:val="0"/>
        <w:jc w:val="left"/>
        <w:rPr>
          <w:rFonts w:hint="default"/>
          <w:color w:val="auto"/>
          <w:highlight w:val="none"/>
          <w:lang w:val="zh-CN" w:eastAsia="zh-CN"/>
        </w:rPr>
      </w:pPr>
      <w:r>
        <w:rPr>
          <w:rFonts w:hint="default"/>
          <w:color w:val="auto"/>
          <w:highlight w:val="none"/>
          <w:lang w:val="zh-CN" w:eastAsia="zh-CN"/>
        </w:rPr>
        <w:drawing>
          <wp:inline distT="0" distB="0" distL="114300" distR="114300">
            <wp:extent cx="5269865" cy="3513455"/>
            <wp:effectExtent l="0" t="0" r="6985" b="10795"/>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8"/>
                    <a:stretch>
                      <a:fillRect/>
                    </a:stretch>
                  </pic:blipFill>
                  <pic:spPr>
                    <a:xfrm>
                      <a:off x="0" y="0"/>
                      <a:ext cx="5269865" cy="3513455"/>
                    </a:xfrm>
                    <a:prstGeom prst="rect">
                      <a:avLst/>
                    </a:prstGeom>
                  </pic:spPr>
                </pic:pic>
              </a:graphicData>
            </a:graphic>
          </wp:inline>
        </w:drawing>
      </w:r>
    </w:p>
    <w:p w14:paraId="305E66C6">
      <w:pPr>
        <w:tabs>
          <w:tab w:val="left" w:pos="1011"/>
        </w:tabs>
        <w:bidi w:val="0"/>
        <w:jc w:val="left"/>
        <w:rPr>
          <w:rFonts w:hint="default"/>
          <w:color w:val="auto"/>
          <w:highlight w:val="none"/>
          <w:lang w:val="zh-CN" w:eastAsia="zh-CN"/>
        </w:rPr>
      </w:pPr>
    </w:p>
    <w:p w14:paraId="76F52559">
      <w:pPr>
        <w:tabs>
          <w:tab w:val="left" w:pos="1011"/>
        </w:tabs>
        <w:bidi w:val="0"/>
        <w:jc w:val="left"/>
        <w:rPr>
          <w:rFonts w:hint="default"/>
          <w:color w:val="auto"/>
          <w:highlight w:val="none"/>
          <w:lang w:val="zh-CN" w:eastAsia="zh-CN"/>
        </w:rPr>
      </w:pPr>
    </w:p>
    <w:p w14:paraId="1DDFB732">
      <w:pPr>
        <w:tabs>
          <w:tab w:val="left" w:pos="1011"/>
        </w:tabs>
        <w:bidi w:val="0"/>
        <w:jc w:val="left"/>
        <w:rPr>
          <w:rFonts w:hint="default"/>
          <w:color w:val="auto"/>
          <w:highlight w:val="none"/>
          <w:lang w:val="zh-CN" w:eastAsia="zh-CN"/>
        </w:rPr>
      </w:pPr>
    </w:p>
    <w:p w14:paraId="64160F85">
      <w:pPr>
        <w:tabs>
          <w:tab w:val="left" w:pos="1011"/>
        </w:tabs>
        <w:bidi w:val="0"/>
        <w:jc w:val="left"/>
        <w:rPr>
          <w:rFonts w:hint="default"/>
          <w:color w:val="auto"/>
          <w:highlight w:val="none"/>
          <w:lang w:val="zh-CN" w:eastAsia="zh-CN"/>
        </w:rPr>
      </w:pPr>
      <w:r>
        <w:rPr>
          <w:rFonts w:hint="default"/>
          <w:color w:val="auto"/>
          <w:highlight w:val="none"/>
          <w:lang w:val="zh-CN" w:eastAsia="zh-CN"/>
        </w:rPr>
        <w:drawing>
          <wp:inline distT="0" distB="0" distL="114300" distR="114300">
            <wp:extent cx="5266690" cy="3511550"/>
            <wp:effectExtent l="0" t="0" r="10160" b="12700"/>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19"/>
                    <a:stretch>
                      <a:fillRect/>
                    </a:stretch>
                  </pic:blipFill>
                  <pic:spPr>
                    <a:xfrm>
                      <a:off x="0" y="0"/>
                      <a:ext cx="5266690" cy="3511550"/>
                    </a:xfrm>
                    <a:prstGeom prst="rect">
                      <a:avLst/>
                    </a:prstGeom>
                  </pic:spPr>
                </pic:pic>
              </a:graphicData>
            </a:graphic>
          </wp:inline>
        </w:drawing>
      </w:r>
    </w:p>
    <w:p w14:paraId="7999188B">
      <w:pPr>
        <w:tabs>
          <w:tab w:val="left" w:pos="1011"/>
        </w:tabs>
        <w:bidi w:val="0"/>
        <w:jc w:val="left"/>
        <w:rPr>
          <w:rFonts w:hint="default"/>
          <w:color w:val="auto"/>
          <w:highlight w:val="none"/>
          <w:lang w:val="zh-CN" w:eastAsia="zh-CN"/>
        </w:rPr>
      </w:pPr>
    </w:p>
    <w:p w14:paraId="0218636B">
      <w:pPr>
        <w:tabs>
          <w:tab w:val="left" w:pos="1011"/>
        </w:tabs>
        <w:bidi w:val="0"/>
        <w:jc w:val="left"/>
        <w:rPr>
          <w:rFonts w:hint="default"/>
          <w:color w:val="auto"/>
          <w:highlight w:val="none"/>
          <w:lang w:val="zh-CN" w:eastAsia="zh-CN"/>
        </w:rPr>
      </w:pPr>
      <w:r>
        <w:rPr>
          <w:rFonts w:hint="default"/>
          <w:color w:val="auto"/>
          <w:highlight w:val="none"/>
          <w:lang w:val="zh-CN" w:eastAsia="zh-CN"/>
        </w:rPr>
        <w:drawing>
          <wp:inline distT="0" distB="0" distL="114300" distR="114300">
            <wp:extent cx="5272405" cy="2965450"/>
            <wp:effectExtent l="0" t="0" r="4445" b="6350"/>
            <wp:docPr id="16" name="图片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
                    <pic:cNvPicPr>
                      <a:picLocks noChangeAspect="1"/>
                    </pic:cNvPicPr>
                  </pic:nvPicPr>
                  <pic:blipFill>
                    <a:blip r:embed="rId20"/>
                    <a:stretch>
                      <a:fillRect/>
                    </a:stretch>
                  </pic:blipFill>
                  <pic:spPr>
                    <a:xfrm>
                      <a:off x="0" y="0"/>
                      <a:ext cx="5272405" cy="2965450"/>
                    </a:xfrm>
                    <a:prstGeom prst="rect">
                      <a:avLst/>
                    </a:prstGeom>
                  </pic:spPr>
                </pic:pic>
              </a:graphicData>
            </a:graphic>
          </wp:inline>
        </w:drawing>
      </w:r>
    </w:p>
    <w:p w14:paraId="4B1265D9">
      <w:pPr>
        <w:tabs>
          <w:tab w:val="left" w:pos="1011"/>
        </w:tabs>
        <w:bidi w:val="0"/>
        <w:jc w:val="left"/>
        <w:rPr>
          <w:rFonts w:hint="default"/>
          <w:color w:val="auto"/>
          <w:highlight w:val="none"/>
          <w:lang w:val="zh-CN" w:eastAsia="zh-CN"/>
        </w:rPr>
      </w:pPr>
    </w:p>
    <w:p w14:paraId="2F1440D3">
      <w:pPr>
        <w:tabs>
          <w:tab w:val="left" w:pos="1011"/>
        </w:tabs>
        <w:bidi w:val="0"/>
        <w:jc w:val="left"/>
        <w:rPr>
          <w:rFonts w:hint="default"/>
          <w:color w:val="auto"/>
          <w:highlight w:val="none"/>
          <w:lang w:val="zh-CN" w:eastAsia="zh-CN"/>
        </w:rPr>
      </w:pPr>
    </w:p>
    <w:p w14:paraId="6DA0054F">
      <w:pPr>
        <w:tabs>
          <w:tab w:val="left" w:pos="1011"/>
        </w:tabs>
        <w:bidi w:val="0"/>
        <w:jc w:val="left"/>
        <w:rPr>
          <w:rFonts w:hint="default"/>
          <w:color w:val="auto"/>
          <w:highlight w:val="none"/>
          <w:lang w:val="zh-CN" w:eastAsia="zh-CN"/>
        </w:rPr>
      </w:pPr>
    </w:p>
    <w:p w14:paraId="722A1C44">
      <w:pPr>
        <w:tabs>
          <w:tab w:val="left" w:pos="1011"/>
        </w:tabs>
        <w:bidi w:val="0"/>
        <w:jc w:val="left"/>
        <w:rPr>
          <w:rFonts w:hint="default"/>
          <w:color w:val="auto"/>
          <w:highlight w:val="none"/>
          <w:lang w:val="zh-CN" w:eastAsia="zh-CN"/>
        </w:rPr>
      </w:pPr>
    </w:p>
    <w:p w14:paraId="6E831B22">
      <w:pPr>
        <w:tabs>
          <w:tab w:val="left" w:pos="1011"/>
        </w:tabs>
        <w:bidi w:val="0"/>
        <w:jc w:val="left"/>
        <w:rPr>
          <w:rFonts w:hint="default"/>
          <w:color w:val="auto"/>
          <w:highlight w:val="none"/>
          <w:lang w:val="zh-CN" w:eastAsia="zh-CN"/>
        </w:rPr>
      </w:pPr>
    </w:p>
    <w:p w14:paraId="5425081A">
      <w:pPr>
        <w:tabs>
          <w:tab w:val="left" w:pos="1011"/>
        </w:tabs>
        <w:bidi w:val="0"/>
        <w:jc w:val="left"/>
        <w:rPr>
          <w:rFonts w:hint="default"/>
          <w:color w:val="auto"/>
          <w:highlight w:val="none"/>
          <w:lang w:val="zh-CN" w:eastAsia="zh-CN"/>
        </w:rPr>
      </w:pPr>
      <w:r>
        <w:rPr>
          <w:rFonts w:hint="default"/>
          <w:color w:val="auto"/>
          <w:highlight w:val="none"/>
          <w:lang w:val="zh-CN" w:eastAsia="zh-CN"/>
        </w:rPr>
        <w:drawing>
          <wp:inline distT="0" distB="0" distL="114300" distR="114300">
            <wp:extent cx="5266690" cy="3511550"/>
            <wp:effectExtent l="0" t="0" r="10160" b="12700"/>
            <wp:docPr id="18" name="图片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
                    <pic:cNvPicPr>
                      <a:picLocks noChangeAspect="1"/>
                    </pic:cNvPicPr>
                  </pic:nvPicPr>
                  <pic:blipFill>
                    <a:blip r:embed="rId21"/>
                    <a:stretch>
                      <a:fillRect/>
                    </a:stretch>
                  </pic:blipFill>
                  <pic:spPr>
                    <a:xfrm>
                      <a:off x="0" y="0"/>
                      <a:ext cx="5266690" cy="3511550"/>
                    </a:xfrm>
                    <a:prstGeom prst="rect">
                      <a:avLst/>
                    </a:prstGeom>
                  </pic:spPr>
                </pic:pic>
              </a:graphicData>
            </a:graphic>
          </wp:inline>
        </w:drawing>
      </w:r>
    </w:p>
    <w:p w14:paraId="2B919EC0">
      <w:pPr>
        <w:tabs>
          <w:tab w:val="left" w:pos="1011"/>
        </w:tabs>
        <w:bidi w:val="0"/>
        <w:jc w:val="left"/>
        <w:rPr>
          <w:rFonts w:hint="default"/>
          <w:color w:val="auto"/>
          <w:highlight w:val="none"/>
          <w:lang w:val="zh-CN" w:eastAsia="zh-CN"/>
        </w:rPr>
      </w:pPr>
    </w:p>
    <w:p w14:paraId="05E6AF9E">
      <w:pPr>
        <w:tabs>
          <w:tab w:val="left" w:pos="1011"/>
        </w:tabs>
        <w:bidi w:val="0"/>
        <w:jc w:val="left"/>
        <w:rPr>
          <w:rFonts w:hint="default"/>
          <w:color w:val="auto"/>
          <w:highlight w:val="none"/>
          <w:lang w:val="zh-CN" w:eastAsia="zh-CN"/>
        </w:rPr>
      </w:pPr>
      <w:r>
        <w:rPr>
          <w:rFonts w:hint="default"/>
          <w:color w:val="auto"/>
          <w:highlight w:val="none"/>
          <w:lang w:val="zh-CN" w:eastAsia="zh-CN"/>
        </w:rPr>
        <w:drawing>
          <wp:inline distT="0" distB="0" distL="114300" distR="114300">
            <wp:extent cx="5257800" cy="3505200"/>
            <wp:effectExtent l="0" t="0" r="0" b="0"/>
            <wp:docPr id="19" name="图片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
                    <pic:cNvPicPr>
                      <a:picLocks noChangeAspect="1"/>
                    </pic:cNvPicPr>
                  </pic:nvPicPr>
                  <pic:blipFill>
                    <a:blip r:embed="rId22"/>
                    <a:stretch>
                      <a:fillRect/>
                    </a:stretch>
                  </pic:blipFill>
                  <pic:spPr>
                    <a:xfrm>
                      <a:off x="0" y="0"/>
                      <a:ext cx="5257800" cy="35052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仿宋_GBK">
    <w:altName w:val="Arial Unicode MS"/>
    <w:panose1 w:val="03000509000000000000"/>
    <w:charset w:val="86"/>
    <w:family w:val="script"/>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AA7"/>
    <w:rsid w:val="000731D9"/>
    <w:rsid w:val="000C4503"/>
    <w:rsid w:val="0010167B"/>
    <w:rsid w:val="00106678"/>
    <w:rsid w:val="001A4DF9"/>
    <w:rsid w:val="001B2CFC"/>
    <w:rsid w:val="00204323"/>
    <w:rsid w:val="002330E9"/>
    <w:rsid w:val="002C64BA"/>
    <w:rsid w:val="003321E1"/>
    <w:rsid w:val="00383A8A"/>
    <w:rsid w:val="003F2EBA"/>
    <w:rsid w:val="00450B63"/>
    <w:rsid w:val="00457B7C"/>
    <w:rsid w:val="004702F9"/>
    <w:rsid w:val="004E3648"/>
    <w:rsid w:val="004E4D69"/>
    <w:rsid w:val="00505CF2"/>
    <w:rsid w:val="005121DE"/>
    <w:rsid w:val="005279A2"/>
    <w:rsid w:val="00586291"/>
    <w:rsid w:val="00654BEA"/>
    <w:rsid w:val="00656E59"/>
    <w:rsid w:val="006C65B7"/>
    <w:rsid w:val="00714F1D"/>
    <w:rsid w:val="0073128A"/>
    <w:rsid w:val="00754934"/>
    <w:rsid w:val="007643AC"/>
    <w:rsid w:val="008037C0"/>
    <w:rsid w:val="008157D2"/>
    <w:rsid w:val="008367FC"/>
    <w:rsid w:val="008A253E"/>
    <w:rsid w:val="00922E83"/>
    <w:rsid w:val="0096263C"/>
    <w:rsid w:val="009B37CF"/>
    <w:rsid w:val="009F6D04"/>
    <w:rsid w:val="00A42A56"/>
    <w:rsid w:val="00A52993"/>
    <w:rsid w:val="00A6004A"/>
    <w:rsid w:val="00A82ABD"/>
    <w:rsid w:val="00AE3A75"/>
    <w:rsid w:val="00AE4B28"/>
    <w:rsid w:val="00B225F4"/>
    <w:rsid w:val="00B520C2"/>
    <w:rsid w:val="00C00444"/>
    <w:rsid w:val="00C85F9F"/>
    <w:rsid w:val="00CB0B1B"/>
    <w:rsid w:val="00D72F00"/>
    <w:rsid w:val="00DA4F47"/>
    <w:rsid w:val="00DF4DC5"/>
    <w:rsid w:val="00E26928"/>
    <w:rsid w:val="00E610CB"/>
    <w:rsid w:val="00EC27E6"/>
    <w:rsid w:val="00EE642F"/>
    <w:rsid w:val="00EF116B"/>
    <w:rsid w:val="00F17055"/>
    <w:rsid w:val="00FB2809"/>
    <w:rsid w:val="00FD2AA7"/>
    <w:rsid w:val="00FE0044"/>
    <w:rsid w:val="00FE5A99"/>
    <w:rsid w:val="00FF0ACE"/>
    <w:rsid w:val="013B385C"/>
    <w:rsid w:val="04A97EE6"/>
    <w:rsid w:val="08786FE2"/>
    <w:rsid w:val="0C594D61"/>
    <w:rsid w:val="0CCB0C78"/>
    <w:rsid w:val="10076341"/>
    <w:rsid w:val="131947E1"/>
    <w:rsid w:val="153760A0"/>
    <w:rsid w:val="179871CA"/>
    <w:rsid w:val="17F03758"/>
    <w:rsid w:val="1BA14D54"/>
    <w:rsid w:val="1D5E3028"/>
    <w:rsid w:val="214D076E"/>
    <w:rsid w:val="2234120F"/>
    <w:rsid w:val="28E9684C"/>
    <w:rsid w:val="2DEE6D71"/>
    <w:rsid w:val="2E784554"/>
    <w:rsid w:val="313F5D28"/>
    <w:rsid w:val="34E62976"/>
    <w:rsid w:val="386079F0"/>
    <w:rsid w:val="3E09134A"/>
    <w:rsid w:val="3EB94BB9"/>
    <w:rsid w:val="4A822AC6"/>
    <w:rsid w:val="4ED671BB"/>
    <w:rsid w:val="50E60B51"/>
    <w:rsid w:val="5BDF27F8"/>
    <w:rsid w:val="60951155"/>
    <w:rsid w:val="63A349FE"/>
    <w:rsid w:val="65762FE2"/>
    <w:rsid w:val="6BE724A1"/>
    <w:rsid w:val="70A24B63"/>
    <w:rsid w:val="77065E4C"/>
    <w:rsid w:val="7A17211E"/>
    <w:rsid w:val="7AC1310D"/>
    <w:rsid w:val="7FEC6C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styleId="7">
    <w:name w:val="Emphasis"/>
    <w:basedOn w:val="6"/>
    <w:qFormat/>
    <w:uiPriority w:val="0"/>
    <w:rPr>
      <w:i/>
    </w:rPr>
  </w:style>
  <w:style w:type="character" w:customStyle="1" w:styleId="8">
    <w:name w:val="批注框文本 Char"/>
    <w:basedOn w:val="6"/>
    <w:link w:val="2"/>
    <w:qFormat/>
    <w:uiPriority w:val="0"/>
    <w:rPr>
      <w:kern w:val="2"/>
      <w:sz w:val="18"/>
      <w:szCs w:val="18"/>
    </w:rPr>
  </w:style>
  <w:style w:type="character" w:customStyle="1" w:styleId="9">
    <w:name w:val="页眉 Char"/>
    <w:basedOn w:val="6"/>
    <w:link w:val="4"/>
    <w:qFormat/>
    <w:uiPriority w:val="0"/>
    <w:rPr>
      <w:kern w:val="2"/>
      <w:sz w:val="18"/>
      <w:szCs w:val="18"/>
    </w:rPr>
  </w:style>
  <w:style w:type="character" w:customStyle="1" w:styleId="10">
    <w:name w:val="页脚 Char"/>
    <w:basedOn w:val="6"/>
    <w:link w:val="3"/>
    <w:qFormat/>
    <w:uiPriority w:val="0"/>
    <w:rPr>
      <w:kern w:val="2"/>
      <w:sz w:val="18"/>
      <w:szCs w:val="18"/>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1492</Words>
  <Characters>1555</Characters>
  <Lines>11</Lines>
  <Paragraphs>3</Paragraphs>
  <TotalTime>21</TotalTime>
  <ScaleCrop>false</ScaleCrop>
  <LinksUpToDate>false</LinksUpToDate>
  <CharactersWithSpaces>1556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2024-06-05T08:37:00Z</dcterms:created>
  <dc:creator>邹洁</dc:creator>
  <cp:lastModifiedBy>朱俊奇</cp:lastModifiedBy>
  <dcterms:modified xsi:type="dcterms:W3CDTF">2025-06-27T06:24:18Z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eyJoZGlkIjoiZGE5YmM0ODMzNjNhZGQ2Njc3YTRlYTJjOTY4ZmVhMGIiLCJ1c2VySWQiOiI0NjY0NjcxODMifQ==</vt:lpwstr>
  </property>
  <property fmtid="{D5CDD505-2E9C-101B-9397-08002B2CF9AE}" pid="4" name="ICV">
    <vt:lpwstr>C0FB168D968F4218984CF21B064BAAA0_12</vt:lpwstr>
  </property>
</Properties>
</file>